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rPr>
          <w:bCs/>
          <w:b/>
        </w:rPr>
        <w:t xml:space="preserve">What Changes, and Where?</w:t>
      </w:r>
      <w:r>
        <w:br/>
      </w:r>
      <w:r>
        <w:rPr>
          <w:bCs/>
          <w:b/>
        </w:rPr>
        <w:t xml:space="preserve">Legislative Churn Across Saudi Arabian Legislation</w:t>
      </w:r>
    </w:p>
    <w:p>
      <w:pPr>
        <w:pStyle w:val="BodyText"/>
      </w:pPr>
      <w:r>
        <w:t xml:space="preserve">Abdullah Almohammedi</w:t>
      </w:r>
      <w:r>
        <w:br/>
      </w:r>
      <w:r>
        <w:t xml:space="preserve">Independent Researcher</w:t>
      </w:r>
      <w:r>
        <w:br/>
      </w:r>
      <w:r>
        <w:rPr>
          <w:rStyle w:val="VerbatimChar"/>
        </w:rPr>
        <w:t xml:space="preserve">abdullah.m.almohammedi@gmail.com</w:t>
      </w:r>
      <w:r>
        <w:br/>
      </w:r>
      <w:r>
        <w:t xml:space="preserve">ORCID: 0009-0001-0832-0995</w:t>
      </w:r>
    </w:p>
    <w:bookmarkStart w:id="20" w:name="word-count"/>
    <w:p>
      <w:pPr>
        <w:pStyle w:val="Heading2"/>
      </w:pPr>
      <w:r>
        <w:t xml:space="preserve">Word count</w:t>
      </w:r>
    </w:p>
    <w:p>
      <w:pPr>
        <w:pStyle w:val="FirstParagraph"/>
      </w:pPr>
      <w:r>
        <w:t xml:space="preserve">4,706 words, including footnotes.</w:t>
      </w:r>
    </w:p>
    <w:bookmarkEnd w:id="20"/>
    <w:bookmarkStart w:id="21" w:name="funding"/>
    <w:p>
      <w:pPr>
        <w:pStyle w:val="Heading2"/>
      </w:pPr>
      <w:r>
        <w:t xml:space="preserve">Funding</w:t>
      </w:r>
    </w:p>
    <w:p>
      <w:pPr>
        <w:pStyle w:val="FirstParagraph"/>
      </w:pPr>
      <w:r>
        <w:t xml:space="preserve">No funding was received for conducting this study.</w:t>
      </w:r>
    </w:p>
    <w:bookmarkEnd w:id="21"/>
    <w:bookmarkStart w:id="22" w:name="conflict-of-interest"/>
    <w:p>
      <w:pPr>
        <w:pStyle w:val="Heading2"/>
      </w:pPr>
      <w:r>
        <w:t xml:space="preserve">Conflict of interest</w:t>
      </w:r>
    </w:p>
    <w:p>
      <w:pPr>
        <w:pStyle w:val="FirstParagraph"/>
      </w:pPr>
      <w:r>
        <w:t xml:space="preserve">The author declares no conflict of interest.</w:t>
      </w:r>
    </w:p>
    <w:bookmarkEnd w:id="22"/>
    <w:bookmarkStart w:id="23" w:name="ethics-approval"/>
    <w:p>
      <w:pPr>
        <w:pStyle w:val="Heading2"/>
      </w:pPr>
      <w:r>
        <w:t xml:space="preserve">Ethics approval</w:t>
      </w:r>
    </w:p>
    <w:p>
      <w:pPr>
        <w:pStyle w:val="FirstParagraph"/>
      </w:pPr>
      <w:r>
        <w:t xml:space="preserve">Not applicable. The study involves no human participants, no animal subjects</w:t>
      </w:r>
      <w:r>
        <w:t xml:space="preserve"> </w:t>
      </w:r>
      <w:r>
        <w:t xml:space="preserve">and no personal data. It analyses published national legislation only.</w:t>
      </w:r>
    </w:p>
    <w:bookmarkEnd w:id="23"/>
    <w:bookmarkStart w:id="24" w:name="acknowledgements"/>
    <w:p>
      <w:pPr>
        <w:pStyle w:val="Heading2"/>
      </w:pPr>
      <w:r>
        <w:t xml:space="preserve">Acknowledgements</w:t>
      </w:r>
    </w:p>
    <w:p>
      <w:pPr>
        <w:pStyle w:val="FirstParagraph"/>
      </w:pPr>
      <w:r>
        <w:t xml:space="preserve">None.</w:t>
      </w:r>
    </w:p>
    <w:bookmarkEnd w:id="24"/>
    <w:bookmarkStart w:id="28" w:name="data-availability"/>
    <w:p>
      <w:pPr>
        <w:pStyle w:val="Heading2"/>
      </w:pPr>
      <w:r>
        <w:t xml:space="preserve">Data availability</w:t>
      </w:r>
    </w:p>
    <w:p>
      <w:pPr>
        <w:pStyle w:val="FirstParagraph"/>
      </w:pPr>
      <w:r>
        <w:t xml:space="preserve">The corpus, its glossary layer, and the analysis and figure scripts that</w:t>
      </w:r>
      <w:r>
        <w:t xml:space="preserve"> </w:t>
      </w:r>
      <w:r>
        <w:t xml:space="preserve">reproduce every number and figure reported in the article are openly</w:t>
      </w:r>
      <w:r>
        <w:t xml:space="preserve"> </w:t>
      </w:r>
      <w:r>
        <w:t xml:space="preserve">available at</w:t>
      </w:r>
      <w:r>
        <w:t xml:space="preserve"> </w:t>
      </w:r>
      <w:hyperlink r:id="rId25">
        <w:r>
          <w:rPr>
            <w:rStyle w:val="Hyperlink"/>
          </w:rPr>
          <w:t xml:space="preserve">https://github.com/Abdullah-m7/saudi-legal-corpus-ai</w:t>
        </w:r>
      </w:hyperlink>
      <w:r>
        <w:t xml:space="preserve"> </w:t>
      </w:r>
      <w:r>
        <w:t xml:space="preserve">and</w:t>
      </w:r>
      <w:r>
        <w:t xml:space="preserve"> </w:t>
      </w:r>
      <w:r>
        <w:t xml:space="preserve">archived on Zenodo under the MIT licence</w:t>
      </w:r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10.5281/zenodo.22019183</w:t>
        </w:r>
      </w:hyperlink>
      <w:r>
        <w:t xml:space="preserve">;</w:t>
      </w:r>
      <w:r>
        <w:t xml:space="preserve"> </w:t>
      </w:r>
      <w:r>
        <w:t xml:space="preserve">concept DOI</w:t>
      </w:r>
      <w:r>
        <w:t xml:space="preserve"> </w:t>
      </w:r>
      <w:hyperlink r:id="rId27">
        <w:r>
          <w:rPr>
            <w:rStyle w:val="Hyperlink"/>
          </w:rPr>
          <w:t xml:space="preserve">10.5281/zenodo.22019182</w:t>
        </w:r>
      </w:hyperlink>
      <w:r>
        <w:t xml:space="preserve">).</w:t>
      </w:r>
    </w:p>
    <w:bookmarkEnd w:id="28"/>
    <w:bookmarkStart w:id="29" w:name="declaration-of-generative-ai-use"/>
    <w:p>
      <w:pPr>
        <w:pStyle w:val="Heading2"/>
      </w:pPr>
      <w:r>
        <w:t xml:space="preserve">Declaration of generative AI use</w:t>
      </w:r>
    </w:p>
    <w:p>
      <w:pPr>
        <w:pStyle w:val="FirstParagraph"/>
      </w:pPr>
      <w:r>
        <w:t xml:space="preserve">DRAFT — the author must confirm or rewrite this before submission; it is a</w:t>
      </w:r>
      <w:r>
        <w:t xml:space="preserve"> </w:t>
      </w:r>
      <w:r>
        <w:t xml:space="preserve">statement in his name, not the assistant’s.</w:t>
      </w:r>
    </w:p>
    <w:p>
      <w:pPr>
        <w:pStyle w:val="BodyText"/>
      </w:pPr>
      <w:r>
        <w:t xml:space="preserve">Generative AI (Claude, Anthropic) was used as a research assistant throughout</w:t>
      </w:r>
      <w:r>
        <w:t xml:space="preserve"> </w:t>
      </w:r>
      <w:r>
        <w:t xml:space="preserve">this work: to write the analysis and figure scripts, to draft and revise the</w:t>
      </w:r>
      <w:r>
        <w:t xml:space="preserve"> </w:t>
      </w:r>
      <w:r>
        <w:t xml:space="preserve">manuscript, and to run adversarial checks against its own claims. The author</w:t>
      </w:r>
      <w:r>
        <w:t xml:space="preserve"> </w:t>
      </w:r>
      <w:r>
        <w:t xml:space="preserve">set the research question, directed the analysis, and is responsible for the</w:t>
      </w:r>
      <w:r>
        <w:t xml:space="preserve"> </w:t>
      </w:r>
      <w:r>
        <w:t xml:space="preserve">content. Every figure reported here is regenerated by the openly published</w:t>
      </w:r>
      <w:r>
        <w:t xml:space="preserve"> </w:t>
      </w:r>
      <w:r>
        <w:t xml:space="preserve">scripts from the openly published corpus, so that any reader can reproduce it</w:t>
      </w:r>
      <w:r>
        <w:t xml:space="preserve"> </w:t>
      </w:r>
      <w:r>
        <w:t xml:space="preserve">independently of how it was written.</w:t>
      </w:r>
    </w:p>
    <w:bookmarkEnd w:id="29"/>
    <w:bookmarkStart w:id="30" w:name="credit-roles"/>
    <w:p>
      <w:pPr>
        <w:pStyle w:val="Heading2"/>
      </w:pPr>
      <w:r>
        <w:t xml:space="preserve">CRediT roles</w:t>
      </w:r>
    </w:p>
    <w:p>
      <w:pPr>
        <w:pStyle w:val="FirstParagraph"/>
      </w:pPr>
      <w:r>
        <w:t xml:space="preserve">A. Almohammedi: conceptualisation, data curation, methodology, software,</w:t>
      </w:r>
      <w:r>
        <w:t xml:space="preserve"> </w:t>
      </w:r>
      <w:r>
        <w:t xml:space="preserve">formal analysis, investigation, writing — original draft, writing — review</w:t>
      </w:r>
      <w:r>
        <w:t xml:space="preserve"> </w:t>
      </w:r>
      <w:r>
        <w:t xml:space="preserve">and editing.</w:t>
      </w:r>
    </w:p>
    <w:bookmarkEnd w:id="30"/>
    <w:bookmarkStart w:id="31" w:name="biographical-note"/>
    <w:p>
      <w:pPr>
        <w:pStyle w:val="Heading2"/>
      </w:pPr>
      <w:r>
        <w:t xml:space="preserve">Biographical note</w:t>
      </w:r>
    </w:p>
    <w:p>
      <w:pPr>
        <w:pStyle w:val="FirstParagraph"/>
      </w:pPr>
      <w:r>
        <w:t xml:space="preserve">DRAFT — to be written by the author, up to 200 words.</w:t>
      </w:r>
    </w:p>
    <w:bookmarkEnd w:id="31"/>
    <w:bookmarkStart w:id="32" w:name="related-work-by-the-author"/>
    <w:p>
      <w:pPr>
        <w:pStyle w:val="Heading2"/>
      </w:pPr>
      <w:r>
        <w:t xml:space="preserve">Related work by the author</w:t>
      </w:r>
    </w:p>
    <w:p>
      <w:pPr>
        <w:pStyle w:val="FirstParagraph"/>
      </w:pPr>
      <w:r>
        <w:t xml:space="preserve">Three companion manuscripts drawing on the same corpus are under review</w:t>
      </w:r>
      <w:r>
        <w:t xml:space="preserve"> </w:t>
      </w:r>
      <w:r>
        <w:t xml:space="preserve">elsewhere: one describing the corpus as a research resource, one analysing its</w:t>
      </w:r>
      <w:r>
        <w:t xml:space="preserve"> </w:t>
      </w:r>
      <w:r>
        <w:t xml:space="preserve">citation network, and one measuring its definitional lexicon. None overlaps</w:t>
      </w:r>
      <w:r>
        <w:t xml:space="preserve"> </w:t>
      </w:r>
      <w:r>
        <w:t xml:space="preserve">with the present article’s contribution, and none is under consideration by</w:t>
      </w:r>
      <w:r>
        <w:t xml:space="preserve"> </w:t>
      </w:r>
      <w:r>
        <w:t xml:space="preserve">this journal.</w:t>
      </w:r>
    </w:p>
    <w:bookmarkEnd w:id="32"/>
    <w:bookmarkStart w:id="33" w:name="legal-status-of-the-sources"/>
    <w:p>
      <w:pPr>
        <w:pStyle w:val="Heading2"/>
      </w:pPr>
      <w:r>
        <w:t xml:space="preserve">Legal status of the sources</w:t>
      </w:r>
    </w:p>
    <w:p>
      <w:pPr>
        <w:pStyle w:val="FirstParagraph"/>
      </w:pPr>
      <w:r>
        <w:t xml:space="preserve">The article analyses a non-official research corpus. Nothing in it</w:t>
      </w:r>
      <w:r>
        <w:t xml:space="preserve"> </w:t>
      </w:r>
      <w:r>
        <w:t xml:space="preserve">constitutes legal advice, and the binding text of any instrument is the</w:t>
      </w:r>
      <w:r>
        <w:t xml:space="preserve"> </w:t>
      </w:r>
      <w:r>
        <w:t xml:space="preserve">Arabic original published in</w:t>
      </w:r>
      <w:r>
        <w:t xml:space="preserve"> </w:t>
      </w:r>
      <w:r>
        <w:rPr>
          <w:iCs/>
          <w:i/>
        </w:rPr>
        <w:t xml:space="preserve">Umm al-Qura</w:t>
      </w:r>
      <w:r>
        <w:t xml:space="preserve">. Instrument identifiers are</w:t>
      </w:r>
      <w:r>
        <w:t xml:space="preserve"> </w:t>
      </w:r>
      <w:r>
        <w:t xml:space="preserve">given as recorded in the corpus registry.</w:t>
      </w:r>
    </w:p>
    <w:bookmarkEnd w:id="3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Times New Roman" w:hAnsi="Times New Roman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0" w:line="480" w:lineRule="auto"/>
    </w:pPr>
  </w:style>
  <w:style w:styleId="BodyText" w:type="paragraph">
    <w:name w:val="Body Text"/>
    <w:basedOn w:val="Normal"/>
    <w:link w:val="BodyTextChar"/>
    <w:pPr>
      <w:spacing w:after="0" w:line="480" w:lineRule="auto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Times New Roman" w:cs="Times New Roman" w:eastAsia="Times New Roman" w:hAnsi="Times New Roman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="Times New Roman" w:cs="Times New Roman" w:eastAsia="Times New Roman" w:hAnsi="Times New Roman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="Times New Roman" w:cs="Times New Roman" w:eastAsia="Times New Roman" w:hAnsi="Times New Roman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="Times New Roman" w:cs="Times New Roman" w:eastAsia="Times New Roman" w:hAnsi="Times New Roman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="Times New Roman" w:cs="Times New Roman" w:eastAsia="Times New Roman" w:hAnsi="Times New Roman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="Times New Roman" w:cs="Times New Roman" w:eastAsia="Times New Roman" w:hAnsi="Times New Roman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="Times New Roman" w:cs="Times New Roman" w:eastAsia="Times New Roman" w:hAnsi="Times New Roman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="Times New Roman" w:cs="Times New Roman" w:eastAsia="Times New Roman" w:hAnsi="Times New Roman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="Times New Roman" w:cs="Times New Roman" w:eastAsia="Times New Roman" w:hAnsi="Times New Roman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="Times New Roman" w:cs="Times New Roman" w:eastAsia="Times New Roman" w:hAnsi="Times New Roman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  <w:pPr>
      <w:spacing w:after="0" w:line="480" w:lineRule="auto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Times New Roman" w:cs="Times New Roman" w:eastAsia="Times New Roman" w:hAnsi="Times New Roman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Times New Roman" w:cs="Times New Roman" w:eastAsia="Times New Roman" w:hAnsi="Times New Roman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7" Target="https://doi.org/10.5281/zenodo.22019182" TargetMode="External" /><Relationship Type="http://schemas.openxmlformats.org/officeDocument/2006/relationships/hyperlink" Id="rId26" Target="https://doi.org/10.5281/zenodo.22019183" TargetMode="External" /><Relationship Type="http://schemas.openxmlformats.org/officeDocument/2006/relationships/hyperlink" Id="rId25" Target="https://github.com/Abdullah-m7/saudi-legal-corpus-ai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https://doi.org/10.5281/zenodo.22019182" TargetMode="External" /><Relationship Type="http://schemas.openxmlformats.org/officeDocument/2006/relationships/hyperlink" Id="rId26" Target="https://doi.org/10.5281/zenodo.22019183" TargetMode="External" /><Relationship Type="http://schemas.openxmlformats.org/officeDocument/2006/relationships/hyperlink" Id="rId25" Target="https://github.com/Abdullah-m7/saudi-legal-corpus-ai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2026-08-21T07:21:53Z</dcterms:created>
  <dcterms:modified xsi:type="dcterms:W3CDTF">2026-08-21T07:21:53Z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