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What Counts as an Establishment?</w:t>
      </w:r>
      <w:r>
        <w:br/>
      </w:r>
      <w:r>
        <w:rPr>
          <w:bCs/>
          <w:b/>
        </w:rPr>
        <w:t xml:space="preserve">Definitional Fragmentation Across Saudi Arabian Legislation</w:t>
      </w:r>
    </w:p>
    <w:p>
      <w:pPr>
        <w:pStyle w:val="BodyText"/>
      </w:pPr>
      <w:r>
        <w:t xml:space="preserve">Abdullah Almohammedi</w:t>
      </w:r>
      <w:r>
        <w:br/>
      </w:r>
      <w:r>
        <w:t xml:space="preserve">Independent Researcher</w:t>
      </w:r>
      <w:r>
        <w:br/>
      </w:r>
      <w:r>
        <w:rPr>
          <w:rStyle w:val="VerbatimChar"/>
        </w:rPr>
        <w:t xml:space="preserve">abdullah.m.almohammedi@gmail.com</w:t>
      </w:r>
      <w:r>
        <w:br/>
      </w:r>
      <w:r>
        <w:t xml:space="preserve">ORCID: 0009-0001-0832-0995</w:t>
      </w:r>
    </w:p>
    <w:bookmarkStart w:id="20" w:name="word-count"/>
    <w:p>
      <w:pPr>
        <w:pStyle w:val="Heading2"/>
      </w:pPr>
      <w:r>
        <w:t xml:space="preserve">Word count</w:t>
      </w:r>
    </w:p>
    <w:p>
      <w:pPr>
        <w:pStyle w:val="FirstParagraph"/>
      </w:pPr>
      <w:r>
        <w:t xml:space="preserve">7,972 words, including footnotes.</w:t>
      </w:r>
    </w:p>
    <w:bookmarkEnd w:id="20"/>
    <w:bookmarkStart w:id="21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funding was received for conducting this study.</w:t>
      </w:r>
    </w:p>
    <w:bookmarkEnd w:id="21"/>
    <w:bookmarkStart w:id="22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The author declares no conflict of interest.</w:t>
      </w:r>
    </w:p>
    <w:bookmarkEnd w:id="22"/>
    <w:bookmarkStart w:id="23" w:name="ethics-approval"/>
    <w:p>
      <w:pPr>
        <w:pStyle w:val="Heading2"/>
      </w:pPr>
      <w:r>
        <w:t xml:space="preserve">Ethics approval</w:t>
      </w:r>
    </w:p>
    <w:p>
      <w:pPr>
        <w:pStyle w:val="FirstParagraph"/>
      </w:pPr>
      <w:r>
        <w:t xml:space="preserve">Not applicable. The study involves no human participants, no animal subjects</w:t>
      </w:r>
      <w:r>
        <w:t xml:space="preserve"> </w:t>
      </w:r>
      <w:r>
        <w:t xml:space="preserve">and no personal data. It analyses published national legislation only.</w:t>
      </w:r>
    </w:p>
    <w:bookmarkEnd w:id="23"/>
    <w:bookmarkStart w:id="24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None.</w:t>
      </w:r>
    </w:p>
    <w:bookmarkEnd w:id="24"/>
    <w:bookmarkStart w:id="28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corpus, its glossary layer, and the analysis and figure scripts that</w:t>
      </w:r>
      <w:r>
        <w:t xml:space="preserve"> </w:t>
      </w:r>
      <w:r>
        <w:t xml:space="preserve">reproduce every number and figure reported in the article are openly</w:t>
      </w:r>
      <w:r>
        <w:t xml:space="preserve"> </w:t>
      </w:r>
      <w:r>
        <w:t xml:space="preserve">available at</w:t>
      </w:r>
      <w:r>
        <w:t xml:space="preserve"> </w:t>
      </w:r>
      <w:hyperlink r:id="rId25">
        <w:r>
          <w:rPr>
            <w:rStyle w:val="Hyperlink"/>
          </w:rPr>
          <w:t xml:space="preserve">https://github.com/Abdullah-m7/saudi-legal-corpus-ai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archived on Zenodo under the MIT licence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10.5281/zenodo.22019183</w:t>
        </w:r>
      </w:hyperlink>
      <w:r>
        <w:t xml:space="preserve">;</w:t>
      </w:r>
      <w:r>
        <w:t xml:space="preserve"> </w:t>
      </w:r>
      <w:r>
        <w:t xml:space="preserve">concept DOI</w:t>
      </w:r>
      <w:r>
        <w:t xml:space="preserve"> </w:t>
      </w:r>
      <w:hyperlink r:id="rId27">
        <w:r>
          <w:rPr>
            <w:rStyle w:val="Hyperlink"/>
          </w:rPr>
          <w:t xml:space="preserve">10.5281/zenodo.22019182</w:t>
        </w:r>
      </w:hyperlink>
      <w:r>
        <w:t xml:space="preserve">).</w:t>
      </w:r>
    </w:p>
    <w:bookmarkEnd w:id="28"/>
    <w:bookmarkStart w:id="29" w:name="related-work-by-the-author"/>
    <w:p>
      <w:pPr>
        <w:pStyle w:val="Heading2"/>
      </w:pPr>
      <w:r>
        <w:t xml:space="preserve">Related work by the author</w:t>
      </w:r>
    </w:p>
    <w:p>
      <w:pPr>
        <w:pStyle w:val="FirstParagraph"/>
      </w:pPr>
      <w:r>
        <w:t xml:space="preserve">Two companion manuscripts drawing on the same corpus are under review</w:t>
      </w:r>
      <w:r>
        <w:t xml:space="preserve"> </w:t>
      </w:r>
      <w:r>
        <w:t xml:space="preserve">elsewhere: one describing the corpus as a resource, and one analysing its</w:t>
      </w:r>
      <w:r>
        <w:t xml:space="preserve"> </w:t>
      </w:r>
      <w:r>
        <w:t xml:space="preserve">citation network. Neither overlaps with the present article’s contribution,</w:t>
      </w:r>
      <w:r>
        <w:t xml:space="preserve"> </w:t>
      </w:r>
      <w:r>
        <w:t xml:space="preserve">and neither is under consideration by this journal.</w:t>
      </w:r>
    </w:p>
    <w:bookmarkEnd w:id="29"/>
    <w:bookmarkStart w:id="30" w:name="legal-status-of-the-sources"/>
    <w:p>
      <w:pPr>
        <w:pStyle w:val="Heading2"/>
      </w:pPr>
      <w:r>
        <w:t xml:space="preserve">Legal status of the sources</w:t>
      </w:r>
    </w:p>
    <w:p>
      <w:pPr>
        <w:pStyle w:val="FirstParagraph"/>
      </w:pPr>
      <w:r>
        <w:t xml:space="preserve">The article analyses a non-official research corpus. Nothing in it</w:t>
      </w:r>
      <w:r>
        <w:t xml:space="preserve"> </w:t>
      </w:r>
      <w:r>
        <w:t xml:space="preserve">constitutes legal advice, and the binding text of any instrument is the</w:t>
      </w:r>
      <w:r>
        <w:t xml:space="preserve"> </w:t>
      </w:r>
      <w:r>
        <w:t xml:space="preserve">Arabic original published in</w:t>
      </w:r>
      <w:r>
        <w:t xml:space="preserve"> </w:t>
      </w:r>
      <w:r>
        <w:rPr>
          <w:iCs/>
          <w:i/>
        </w:rPr>
        <w:t xml:space="preserve">Umm al-Qura</w:t>
      </w:r>
      <w:r>
        <w:t xml:space="preserve">. Instrument identifiers are</w:t>
      </w:r>
      <w:r>
        <w:t xml:space="preserve"> </w:t>
      </w:r>
      <w:r>
        <w:t xml:space="preserve">given as recorded in the corpus registry.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</w:style>
  <w:style w:styleId="BodyText" w:type="paragraph">
    <w:name w:val="Body Text"/>
    <w:basedOn w:val="Normal"/>
    <w:link w:val="BodyTextChar"/>
    <w:pPr>
      <w:spacing w:after="0" w:line="48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480" w:lineRule="auto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oi.org/10.5281/zenodo.22019182" TargetMode="External" /><Relationship Type="http://schemas.openxmlformats.org/officeDocument/2006/relationships/hyperlink" Id="rId26" Target="https://doi.org/10.5281/zenodo.22019183" TargetMode="External" /><Relationship Type="http://schemas.openxmlformats.org/officeDocument/2006/relationships/hyperlink" Id="rId25" Target="https://github.com/Abdullah-m7/saudi-legal-corpus-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5281/zenodo.22019182" TargetMode="External" /><Relationship Type="http://schemas.openxmlformats.org/officeDocument/2006/relationships/hyperlink" Id="rId26" Target="https://doi.org/10.5281/zenodo.22019183" TargetMode="External" /><Relationship Type="http://schemas.openxmlformats.org/officeDocument/2006/relationships/hyperlink" Id="rId25" Target="https://github.com/Abdullah-m7/saudi-legal-corpus-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2026-08-20T11:37:07Z</dcterms:created>
  <dcterms:modified xsi:type="dcterms:W3CDTF">2026-08-20T11:37:07Z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