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Can</w:t>
      </w:r>
      <w:r>
        <w:t xml:space="preserve"> </w:t>
      </w:r>
      <w:r>
        <w:t xml:space="preserve">You</w:t>
      </w:r>
      <w:r>
        <w:t xml:space="preserve"> </w:t>
      </w:r>
      <w:r>
        <w:t xml:space="preserve">Build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Official</w:t>
      </w:r>
      <w:r>
        <w:t xml:space="preserve"> </w:t>
      </w:r>
      <w:r>
        <w:t xml:space="preserve">Record?</w:t>
      </w:r>
      <w:r>
        <w:br/>
      </w:r>
      <w:r>
        <w:t xml:space="preserve">Availability,</w:t>
      </w:r>
      <w:r>
        <w:t xml:space="preserve"> </w:t>
      </w:r>
      <w:r>
        <w:t xml:space="preserve">Consistency</w:t>
      </w:r>
      <w:r>
        <w:t xml:space="preserve"> </w:t>
      </w:r>
      <w:r>
        <w:t xml:space="preserve">and</w:t>
      </w:r>
      <w:r>
        <w:t xml:space="preserve"> </w:t>
      </w:r>
      <w:r>
        <w:t xml:space="preserve">Provenance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State’s</w:t>
      </w:r>
      <w:r>
        <w:t xml:space="preserve"> </w:t>
      </w:r>
      <w:r>
        <w:t xml:space="preserve">Published</w:t>
      </w:r>
      <w:r>
        <w:t xml:space="preserve"> </w:t>
      </w:r>
      <w:r>
        <w:t xml:space="preserve">Law</w:t>
      </w:r>
    </w:p>
    <w:p>
      <w:pPr>
        <w:pStyle w:val="Author"/>
      </w:pPr>
      <w:r>
        <w:t xml:space="preserve">Abdullah</w:t>
      </w:r>
      <w:r>
        <w:t xml:space="preserve"> </w:t>
      </w:r>
      <w:r>
        <w:t xml:space="preserve">Almohammedi</w:t>
      </w:r>
      <w:r>
        <w:br/>
      </w:r>
      <w:r>
        <w:t xml:space="preserve">Independent</w:t>
      </w:r>
      <w:r>
        <w:t xml:space="preserve"> </w:t>
      </w:r>
      <w:r>
        <w:t xml:space="preserve">Researcher</w:t>
      </w:r>
      <w:r>
        <w:br/>
      </w:r>
      <w:r>
        <w:rPr>
          <w:rStyle w:val="VerbatimChar"/>
        </w:rPr>
        <w:t xml:space="preserve">abdullah.m.almohammedi@gmail.com</w:t>
      </w:r>
      <w:r>
        <w:br/>
      </w:r>
      <w:r>
        <w:t xml:space="preserve">ORCID:</w:t>
      </w:r>
      <w:r>
        <w:t xml:space="preserve"> </w:t>
      </w:r>
      <w:hyperlink r:id="rId20">
        <w:r>
          <w:rPr>
            <w:rStyle w:val="Hyperlink"/>
          </w:rPr>
          <w:t xml:space="preserve">0009-0001-0832-0995</w:t>
        </w:r>
      </w:hyperlink>
    </w:p>
    <w:p>
      <w:pPr>
        <w:pStyle w:val="FirstParagraph"/>
      </w:pPr>
      <w:r>
        <w:rPr>
          <w:bCs/>
          <w:b/>
        </w:rPr>
        <w:t xml:space="preserve">What It Took to Read the Law: Access, Provenance and the Evidentiary Basis of a Digital Legal Corpus</w:t>
      </w:r>
    </w:p>
    <w:p>
      <w:pPr>
        <w:pStyle w:val="BodyText"/>
      </w:pPr>
      <w:r>
        <w:t xml:space="preserve">Abdullah Almohammedi</w:t>
      </w:r>
      <w:r>
        <w:br/>
      </w:r>
      <w:r>
        <w:t xml:space="preserve">Independent Researcher</w:t>
      </w:r>
      <w:r>
        <w:br/>
      </w:r>
      <w:r>
        <w:rPr>
          <w:rStyle w:val="VerbatimChar"/>
        </w:rPr>
        <w:t xml:space="preserve">abdullah.m.almohammedi@gmail.com</w:t>
      </w:r>
      <w:r>
        <w:br/>
      </w:r>
      <w:r>
        <w:t xml:space="preserve">ORCID: 0009-0001-0832-0995</w:t>
      </w:r>
    </w:p>
    <w:bookmarkStart w:id="21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Governments publish their law online, and a growing amount of public and</w:t>
      </w:r>
      <w:r>
        <w:t xml:space="preserve"> </w:t>
      </w:r>
      <w:r>
        <w:t xml:space="preserve">private activity is built directly on those publications: compliance systems,</w:t>
      </w:r>
      <w:r>
        <w:t xml:space="preserve"> </w:t>
      </w:r>
      <w:r>
        <w:t xml:space="preserve">regulatory technology, and models grounded in statutory text. All of it assumes</w:t>
      </w:r>
      <w:r>
        <w:t xml:space="preserve"> </w:t>
      </w:r>
      <w:r>
        <w:t xml:space="preserve">the official record is available when needed and internally consistent when</w:t>
      </w:r>
      <w:r>
        <w:t xml:space="preserve"> </w:t>
      </w:r>
      <w:r>
        <w:t xml:space="preserve">read. That assumption is rarely tested, because testing it requires a</w:t>
      </w:r>
      <w:r>
        <w:t xml:space="preserve"> </w:t>
      </w:r>
      <w:r>
        <w:t xml:space="preserve">contemporaneous account of what each attempt to retrieve the official text</w:t>
      </w:r>
      <w:r>
        <w:t xml:space="preserve"> </w:t>
      </w:r>
      <w:r>
        <w:t xml:space="preserve">returned. This article reports one. In building a corpus of Saudi Arabian</w:t>
      </w:r>
      <w:r>
        <w:t xml:space="preserve"> </w:t>
      </w:r>
      <w:r>
        <w:t xml:space="preserve">legislation, every verified article was annotated with the sources consulted</w:t>
      </w:r>
      <w:r>
        <w:t xml:space="preserve"> </w:t>
      </w:r>
      <w:r>
        <w:t xml:space="preserve">and how they were reconciled, and every instrument was assigned a verification</w:t>
      </w:r>
      <w:r>
        <w:t xml:space="preserve"> </w:t>
      </w:r>
      <w:r>
        <w:t xml:space="preserve">tier by hand. Across the 11,704 articles whose record names its sources, the</w:t>
      </w:r>
      <w:r>
        <w:t xml:space="preserve"> </w:t>
      </w:r>
      <w:r>
        <w:t xml:space="preserve">official source was unreachable for 20.0 per cent, covering 28.0 per cent of</w:t>
      </w:r>
      <w:r>
        <w:t xml:space="preserve"> </w:t>
      </w:r>
      <w:r>
        <w:t xml:space="preserve">instruments; 20.9 per cent were obtained through a web archive, two thirds of</w:t>
      </w:r>
      <w:r>
        <w:t xml:space="preserve"> </w:t>
      </w:r>
      <w:r>
        <w:t xml:space="preserve">those cases coinciding with a live source that would not respond; 8.2 per cent</w:t>
      </w:r>
      <w:r>
        <w:t xml:space="preserve"> </w:t>
      </w:r>
      <w:r>
        <w:t xml:space="preserve">required optical reconstruction; and 4.9 per cent record a defect in the</w:t>
      </w:r>
      <w:r>
        <w:t xml:space="preserve"> </w:t>
      </w:r>
      <w:r>
        <w:t xml:space="preserve">official text itself. Between a sixth and a quarter of the corpus, depending on</w:t>
      </w:r>
      <w:r>
        <w:t xml:space="preserve"> </w:t>
      </w:r>
      <w:r>
        <w:t xml:space="preserve">the unit counted, rests on evidence weaker than a cross-verified official</w:t>
      </w:r>
      <w:r>
        <w:t xml:space="preserve"> </w:t>
      </w:r>
      <w:r>
        <w:t xml:space="preserve">primary. In four instruments the official record contradicts itself: the</w:t>
      </w:r>
      <w:r>
        <w:t xml:space="preserve"> </w:t>
      </w:r>
      <w:r>
        <w:t xml:space="preserve">provision the portal displays and the amendment log the same portal publishes</w:t>
      </w:r>
      <w:r>
        <w:t xml:space="preserve"> </w:t>
      </w:r>
      <w:r>
        <w:t xml:space="preserve">do not agree. Three conclusions follow for publishers and users of official</w:t>
      </w:r>
      <w:r>
        <w:t xml:space="preserve"> </w:t>
      </w:r>
      <w:r>
        <w:t xml:space="preserve">data. Web archives are load-bearing infrastructure for public-record research</w:t>
      </w:r>
      <w:r>
        <w:t xml:space="preserve"> </w:t>
      </w:r>
      <w:r>
        <w:t xml:space="preserve">and hold that position with no mandate and no guarantee of permanence.</w:t>
      </w:r>
      <w:r>
        <w:t xml:space="preserve"> </w:t>
      </w:r>
      <w:r>
        <w:t xml:space="preserve">Availability and internal consistency are distinct properties needing separate</w:t>
      </w:r>
      <w:r>
        <w:t xml:space="preserve"> </w:t>
      </w:r>
      <w:r>
        <w:t xml:space="preserve">measurement. And a public dataset should carry the strength of the evidence</w:t>
      </w:r>
      <w:r>
        <w:t xml:space="preserve"> </w:t>
      </w:r>
      <w:r>
        <w:t xml:space="preserve">behind each record, for which we propose a minimal five-field schema derived</w:t>
      </w:r>
      <w:r>
        <w:t xml:space="preserve"> </w:t>
      </w:r>
      <w:r>
        <w:t xml:space="preserve">from what this corpus recorded in free text — and from the 24 per cent of its</w:t>
      </w:r>
      <w:r>
        <w:t xml:space="preserve"> </w:t>
      </w:r>
      <w:r>
        <w:t xml:space="preserve">own provenance values that turned out not to be provenance at all.</w:t>
      </w:r>
    </w:p>
    <w:p>
      <w:pPr>
        <w:pStyle w:val="BodyText"/>
      </w:pPr>
      <w:r>
        <w:rPr>
          <w:bCs/>
          <w:b/>
        </w:rPr>
        <w:t xml:space="preserve">Policy Significance Statement</w:t>
      </w:r>
    </w:p>
    <w:p>
      <w:pPr>
        <w:pStyle w:val="BodyText"/>
      </w:pPr>
      <w:r>
        <w:t xml:space="preserve">Governments publish their law online, and compliance systems, regulatory</w:t>
      </w:r>
      <w:r>
        <w:t xml:space="preserve"> </w:t>
      </w:r>
      <w:r>
        <w:t xml:space="preserve">technology and AI tools now consume those publications directly, without a</w:t>
      </w:r>
      <w:r>
        <w:t xml:space="preserve"> </w:t>
      </w:r>
      <w:r>
        <w:t xml:space="preserve">professional reader who might notice a problem. This article measures whether</w:t>
      </w:r>
      <w:r>
        <w:t xml:space="preserve"> </w:t>
      </w:r>
      <w:r>
        <w:t xml:space="preserve">one state’s official legal record was available and internally consistent when</w:t>
      </w:r>
      <w:r>
        <w:t xml:space="preserve"> </w:t>
      </w:r>
      <w:r>
        <w:t xml:space="preserve">someone tried to use it at scale. For a fifth of articles the official source</w:t>
      </w:r>
      <w:r>
        <w:t xml:space="preserve"> </w:t>
      </w:r>
      <w:r>
        <w:t xml:space="preserve">could not be reached; a fifth arrived through a web archive; one instrument in</w:t>
      </w:r>
      <w:r>
        <w:t xml:space="preserve"> </w:t>
      </w:r>
      <w:r>
        <w:t xml:space="preserve">seven had to be read as images; and in four instruments the record contradicts</w:t>
      </w:r>
      <w:r>
        <w:t xml:space="preserve"> </w:t>
      </w:r>
      <w:r>
        <w:t xml:space="preserve">itself. Nothing published alongside the text tells a user which case they are</w:t>
      </w:r>
      <w:r>
        <w:t xml:space="preserve"> </w:t>
      </w:r>
      <w:r>
        <w:t xml:space="preserve">in. We propose a five-field provenance schema that any publisher of official</w:t>
      </w:r>
      <w:r>
        <w:t xml:space="preserve"> </w:t>
      </w:r>
      <w:r>
        <w:t xml:space="preserve">data can populate at the point of collection, and which would make the</w:t>
      </w:r>
      <w:r>
        <w:t xml:space="preserve"> </w:t>
      </w:r>
      <w:r>
        <w:t xml:space="preserve">difference visible at negligible cost.</w:t>
      </w:r>
    </w:p>
    <w:p>
      <w:pPr>
        <w:pStyle w:val="BodyText"/>
      </w:pPr>
      <w:r>
        <w:rPr>
          <w:bCs/>
          <w:b/>
        </w:rPr>
        <w:t xml:space="preserve">Keywords:</w:t>
      </w:r>
      <w:r>
        <w:t xml:space="preserve"> </w:t>
      </w:r>
      <w:r>
        <w:t xml:space="preserve">public data infrastructure;</w:t>
      </w:r>
      <w:r>
        <w:t xml:space="preserve"> </w:t>
      </w:r>
      <w:r>
        <w:t xml:space="preserve">provenance; data quality; web archiving; official records; open government</w:t>
      </w:r>
      <w:r>
        <w:t xml:space="preserve"> </w:t>
      </w:r>
      <w:r>
        <w:t xml:space="preserve">data; legal informatics; Saudi Arabia</w:t>
      </w:r>
    </w:p>
    <w:bookmarkEnd w:id="21"/>
    <w:bookmarkStart w:id="24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Article 1 of the Saudi Environmental Law can be read on the official</w:t>
      </w:r>
      <w:r>
        <w:t xml:space="preserve"> </w:t>
      </w:r>
      <w:r>
        <w:t xml:space="preserve">legislative portal. It can also be read, on the same portal, in a form that</w:t>
      </w:r>
      <w:r>
        <w:t xml:space="preserve"> </w:t>
      </w:r>
      <w:r>
        <w:t xml:space="preserve">does not match. The corpus described below records the discrepancy against</w:t>
      </w:r>
      <w:r>
        <w:t xml:space="preserve"> </w:t>
      </w:r>
      <w:r>
        <w:t xml:space="preserve">that article, resolved only by going to two independent sources outside the</w:t>
      </w:r>
      <w:r>
        <w:t xml:space="preserve"> </w:t>
      </w:r>
      <w:r>
        <w:t xml:space="preserve">portal and taking the reading on which they agreed.</w:t>
      </w:r>
      <w:r>
        <w:rPr>
          <w:rStyle w:val="FootnoteReference"/>
        </w:rPr>
        <w:footnoteReference w:id="22"/>
      </w:r>
    </w:p>
    <w:p>
      <w:pPr>
        <w:pStyle w:val="BodyText"/>
      </w:pPr>
      <w:r>
        <w:t xml:space="preserve">That is an uncomfortable observation to build on, and it is not the point of</w:t>
      </w:r>
      <w:r>
        <w:t xml:space="preserve"> </w:t>
      </w:r>
      <w:r>
        <w:t xml:space="preserve">this article. The point is what it takes to notice. A user who consults the</w:t>
      </w:r>
      <w:r>
        <w:t xml:space="preserve"> </w:t>
      </w:r>
      <w:r>
        <w:t xml:space="preserve">portal once, on a good day, gets an answer and no reason to doubt it. The</w:t>
      </w:r>
      <w:r>
        <w:t xml:space="preserve"> </w:t>
      </w:r>
      <w:r>
        <w:t xml:space="preserve">discrepancy is visible only to someone who consulted the portal repeatedly, kept</w:t>
      </w:r>
      <w:r>
        <w:t xml:space="preserve"> </w:t>
      </w:r>
      <w:r>
        <w:t xml:space="preserve">a record of what each attempt returned, and compared. Almost nobody does that,</w:t>
      </w:r>
      <w:r>
        <w:t xml:space="preserve"> </w:t>
      </w:r>
      <w:r>
        <w:t xml:space="preserve">because almost nobody has reason to: the official source is where the law is,</w:t>
      </w:r>
      <w:r>
        <w:t xml:space="preserve"> </w:t>
      </w:r>
      <w:r>
        <w:t xml:space="preserve">and if the official source says something, that is what the law says.</w:t>
      </w:r>
    </w:p>
    <w:p>
      <w:pPr>
        <w:pStyle w:val="BodyText"/>
      </w:pPr>
      <w:r>
        <w:t xml:space="preserve">The reason this matters beyond one statute is that the population of users has</w:t>
      </w:r>
      <w:r>
        <w:t xml:space="preserve"> </w:t>
      </w:r>
      <w:r>
        <w:t xml:space="preserve">changed. When the audience for published law was lawyers reading one provision</w:t>
      </w:r>
      <w:r>
        <w:t xml:space="preserve"> </w:t>
      </w:r>
      <w:r>
        <w:t xml:space="preserve">at a time, an occasional outage was an inconvenience and an inconsistency was</w:t>
      </w:r>
      <w:r>
        <w:t xml:space="preserve"> </w:t>
      </w:r>
      <w:r>
        <w:t xml:space="preserve">something a professional would notice and query. The audience now includes</w:t>
      </w:r>
      <w:r>
        <w:t xml:space="preserve"> </w:t>
      </w:r>
      <w:r>
        <w:t xml:space="preserve">systems: compliance engines, regulatory-technology products, public bodies</w:t>
      </w:r>
      <w:r>
        <w:t xml:space="preserve"> </w:t>
      </w:r>
      <w:r>
        <w:t xml:space="preserve">consuming each other’s published rules, and models grounded in statutory text.</w:t>
      </w:r>
      <w:r>
        <w:t xml:space="preserve"> </w:t>
      </w:r>
      <w:r>
        <w:t xml:space="preserve">These consume the record at volume, without a professional reader between the</w:t>
      </w:r>
      <w:r>
        <w:t xml:space="preserve"> </w:t>
      </w:r>
      <w:r>
        <w:t xml:space="preserve">source and the answer, and they cannot query anything. For them an outage is</w:t>
      </w:r>
      <w:r>
        <w:t xml:space="preserve"> </w:t>
      </w:r>
      <w:r>
        <w:t xml:space="preserve">not an inconvenience — it is a gap silently filled from somewhere else, or a</w:t>
      </w:r>
      <w:r>
        <w:t xml:space="preserve"> </w:t>
      </w:r>
      <w:r>
        <w:t xml:space="preserve">record that never enters the collection at all, with nothing downstream marking</w:t>
      </w:r>
      <w:r>
        <w:t xml:space="preserve"> </w:t>
      </w:r>
      <w:r>
        <w:t xml:space="preserve">either event.</w:t>
      </w:r>
    </w:p>
    <w:p>
      <w:pPr>
        <w:pStyle w:val="BodyText"/>
      </w:pPr>
      <w:r>
        <w:t xml:space="preserve">This article examines what happens to that assumption when it is checked. It</w:t>
      </w:r>
      <w:r>
        <w:t xml:space="preserve"> </w:t>
      </w:r>
      <w:r>
        <w:t xml:space="preserve">uses a corpus of Saudi Arabian legislation in which every verified article</w:t>
      </w:r>
      <w:r>
        <w:t xml:space="preserve"> </w:t>
      </w:r>
      <w:r>
        <w:t xml:space="preserve">carries a provenance string naming the sources consulted and how they were</w:t>
      </w:r>
      <w:r>
        <w:t xml:space="preserve"> </w:t>
      </w:r>
      <w:r>
        <w:t xml:space="preserve">reconciled, together with a verification tier assigned by hand to each</w:t>
      </w:r>
      <w:r>
        <w:t xml:space="preserve"> </w:t>
      </w:r>
      <w:r>
        <w:t xml:space="preserve">instrument.</w:t>
      </w:r>
      <w:r>
        <w:rPr>
          <w:rStyle w:val="FootnoteReference"/>
        </w:rPr>
        <w:footnoteReference w:id="23"/>
      </w:r>
      <w:r>
        <w:t xml:space="preserve"> </w:t>
      </w:r>
      <w:r>
        <w:t xml:space="preserve">The</w:t>
      </w:r>
      <w:r>
        <w:t xml:space="preserve"> </w:t>
      </w:r>
      <w:r>
        <w:t xml:space="preserve">corpus was not built to study its own provenance. The record exists because</w:t>
      </w:r>
      <w:r>
        <w:t xml:space="preserve"> </w:t>
      </w:r>
      <w:r>
        <w:t xml:space="preserve">building it required deciding, article by article, whether the text in hand</w:t>
      </w:r>
      <w:r>
        <w:t xml:space="preserve"> </w:t>
      </w:r>
      <w:r>
        <w:t xml:space="preserve">could be relied on — and the record of those decisions turns out to be</w:t>
      </w:r>
      <w:r>
        <w:t xml:space="preserve"> </w:t>
      </w:r>
      <w:r>
        <w:t xml:space="preserve">evidence about something larger than one corpus.</w:t>
      </w:r>
    </w:p>
    <w:p>
      <w:pPr>
        <w:pStyle w:val="BodyText"/>
      </w:pPr>
      <w:r>
        <w:t xml:space="preserve">Three findings follow, and a fourth observation about this corpus’s own</w:t>
      </w:r>
      <w:r>
        <w:t xml:space="preserve"> </w:t>
      </w:r>
      <w:r>
        <w:t xml:space="preserve">shortcomings.</w:t>
      </w:r>
    </w:p>
    <w:p>
      <w:pPr>
        <w:pStyle w:val="BodyText"/>
      </w:pPr>
      <w:r>
        <w:t xml:space="preserve">First,</w:t>
      </w:r>
      <w:r>
        <w:t xml:space="preserve"> </w:t>
      </w:r>
      <w:r>
        <w:rPr>
          <w:bCs/>
          <w:b/>
        </w:rPr>
        <w:t xml:space="preserve">the official source was frequently not available</w:t>
      </w:r>
      <w:r>
        <w:t xml:space="preserve">. For 20.0 per</w:t>
      </w:r>
      <w:r>
        <w:t xml:space="preserve"> </w:t>
      </w:r>
      <w:r>
        <w:t xml:space="preserve">cent of articles, covering 28.0 per cent of instruments, the build record</w:t>
      </w:r>
      <w:r>
        <w:t xml:space="preserve"> </w:t>
      </w:r>
      <w:r>
        <w:t xml:space="preserve">documents that the primary official source could not be reached: a portal</w:t>
      </w:r>
      <w:r>
        <w:t xml:space="preserve"> </w:t>
      </w:r>
      <w:r>
        <w:t xml:space="preserve">returning an error, a connection reset, a page that no longer resolved. This</w:t>
      </w:r>
      <w:r>
        <w:t xml:space="preserve"> </w:t>
      </w:r>
      <w:r>
        <w:t xml:space="preserve">is not a claim that the sources are badly maintained. It is a measurement of</w:t>
      </w:r>
      <w:r>
        <w:t xml:space="preserve"> </w:t>
      </w:r>
      <w:r>
        <w:t xml:space="preserve">how often a researcher who needs the official text will not get it on the</w:t>
      </w:r>
      <w:r>
        <w:t xml:space="preserve"> </w:t>
      </w:r>
      <w:r>
        <w:t xml:space="preserve">first attempt — or the fifth.</w:t>
      </w:r>
    </w:p>
    <w:p>
      <w:pPr>
        <w:pStyle w:val="BodyText"/>
      </w:pPr>
      <w:r>
        <w:t xml:space="preserve">Second,</w:t>
      </w:r>
      <w:r>
        <w:t xml:space="preserve"> </w:t>
      </w:r>
      <w:r>
        <w:rPr>
          <w:bCs/>
          <w:b/>
        </w:rPr>
        <w:t xml:space="preserve">web archives did much of the work instead</w:t>
      </w:r>
      <w:r>
        <w:t xml:space="preserve">. 20.9 per cent of</w:t>
      </w:r>
      <w:r>
        <w:t xml:space="preserve"> </w:t>
      </w:r>
      <w:r>
        <w:t xml:space="preserve">articles were obtained through an archived capture rather than a live official</w:t>
      </w:r>
      <w:r>
        <w:t xml:space="preserve"> </w:t>
      </w:r>
      <w:r>
        <w:t xml:space="preserve">page. The two totals are close, but that alone would prove nothing — so the</w:t>
      </w:r>
      <w:r>
        <w:t xml:space="preserve"> </w:t>
      </w:r>
      <w:r>
        <w:t xml:space="preserve">joint is measured rather than inferred: 67.8 per cent of the articles whose</w:t>
      </w:r>
      <w:r>
        <w:t xml:space="preserve"> </w:t>
      </w:r>
      <w:r>
        <w:t xml:space="preserve">official source was unreachable were recovered through an archive, and 65.1 per</w:t>
      </w:r>
      <w:r>
        <w:t xml:space="preserve"> </w:t>
      </w:r>
      <w:r>
        <w:t xml:space="preserve">cent of archive use coincided with a recorded unavailability. The archive</w:t>
      </w:r>
      <w:r>
        <w:t xml:space="preserve"> </w:t>
      </w:r>
      <w:r>
        <w:t xml:space="preserve">standing in for a page that would not load is therefore the dominant pattern</w:t>
      </w:r>
      <w:r>
        <w:t xml:space="preserve"> </w:t>
      </w:r>
      <w:r>
        <w:t xml:space="preserve">and not the only one; 7.3 per cent of articles used an archive with no</w:t>
      </w:r>
      <w:r>
        <w:t xml:space="preserve"> </w:t>
      </w:r>
      <w:r>
        <w:t xml:space="preserve">unavailability recorded, and 6.4 per cent record unavailability that an archive</w:t>
      </w:r>
      <w:r>
        <w:t xml:space="preserve"> </w:t>
      </w:r>
      <w:r>
        <w:t xml:space="preserve">did not resolve. The Internet Archive is not a fallback for this kind of</w:t>
      </w:r>
      <w:r>
        <w:t xml:space="preserve"> </w:t>
      </w:r>
      <w:r>
        <w:t xml:space="preserve">research. It is part of the infrastructure, and it holds that position without</w:t>
      </w:r>
      <w:r>
        <w:t xml:space="preserve"> </w:t>
      </w:r>
      <w:r>
        <w:t xml:space="preserve">any legal status, any guarantee of permanence, and no obligation to anyone.</w:t>
      </w:r>
    </w:p>
    <w:p>
      <w:pPr>
        <w:pStyle w:val="BodyText"/>
      </w:pPr>
      <w:r>
        <w:t xml:space="preserve">Third,</w:t>
      </w:r>
      <w:r>
        <w:t xml:space="preserve"> </w:t>
      </w:r>
      <w:r>
        <w:rPr>
          <w:bCs/>
          <w:b/>
        </w:rPr>
        <w:t xml:space="preserve">the evidence behind the text is uneven, and nothing published</w:t>
      </w:r>
      <w:r>
        <w:rPr>
          <w:bCs/>
          <w:b/>
        </w:rPr>
        <w:t xml:space="preserve"> </w:t>
      </w:r>
      <w:r>
        <w:rPr>
          <w:bCs/>
          <w:b/>
        </w:rPr>
        <w:t xml:space="preserve">alongside the text says so</w:t>
      </w:r>
      <w:r>
        <w:t xml:space="preserve">. Weighted by article, 64.2 per cent of the corpus</w:t>
      </w:r>
      <w:r>
        <w:t xml:space="preserve"> </w:t>
      </w:r>
      <w:r>
        <w:t xml:space="preserve">rests on two or more official sources in agreement; 18.9 per cent on one</w:t>
      </w:r>
      <w:r>
        <w:t xml:space="preserve"> </w:t>
      </w:r>
      <w:r>
        <w:t xml:space="preserve">official source cross-checked against secondary ones; 4.5 per cent on secondary</w:t>
      </w:r>
      <w:r>
        <w:t xml:space="preserve"> </w:t>
      </w:r>
      <w:r>
        <w:t xml:space="preserve">sources only, because no official source could be reached; and 12.5 per cent on</w:t>
      </w:r>
      <w:r>
        <w:t xml:space="preserve"> </w:t>
      </w:r>
      <w:r>
        <w:t xml:space="preserve">a single source or on evidence that varies within the instrument. A reader</w:t>
      </w:r>
      <w:r>
        <w:t xml:space="preserve"> </w:t>
      </w:r>
      <w:r>
        <w:t xml:space="preserve">given the consolidated text alone cannot distinguish the first case from the</w:t>
      </w:r>
      <w:r>
        <w:t xml:space="preserve"> </w:t>
      </w:r>
      <w:r>
        <w:t xml:space="preserve">last.</w:t>
      </w:r>
    </w:p>
    <w:p>
      <w:pPr>
        <w:pStyle w:val="BodyText"/>
      </w:pPr>
      <w:r>
        <w:t xml:space="preserve">The fourth observation is about the record itself, and it cuts against the</w:t>
      </w:r>
      <w:r>
        <w:t xml:space="preserve"> </w:t>
      </w:r>
      <w:r>
        <w:t xml:space="preserve">corpus this article uses. The provenance field is free text, not a controlled</w:t>
      </w:r>
      <w:r>
        <w:t xml:space="preserve"> </w:t>
      </w:r>
      <w:r>
        <w:t xml:space="preserve">vocabulary, and 3,704 of 15,408 articles carry a value in it that is not a</w:t>
      </w:r>
      <w:r>
        <w:t xml:space="preserve"> </w:t>
      </w:r>
      <w:r>
        <w:t xml:space="preserve">provenance statement at all — a lifecycle status such as</w:t>
      </w:r>
      <w:r>
        <w:t xml:space="preserve"> </w:t>
      </w:r>
      <w:r>
        <w:t xml:space="preserve">‘</w:t>
      </w:r>
      <w:r>
        <w:t xml:space="preserve">unchanged</w:t>
      </w:r>
      <w:r>
        <w:t xml:space="preserve">’</w:t>
      </w:r>
      <w:r>
        <w:t xml:space="preserve"> </w:t>
      </w:r>
      <w:r>
        <w:t xml:space="preserve">that</w:t>
      </w:r>
      <w:r>
        <w:t xml:space="preserve"> </w:t>
      </w:r>
      <w:r>
        <w:t xml:space="preserve">leaked into the same field. A project that took provenance unusually seriously</w:t>
      </w:r>
      <w:r>
        <w:t xml:space="preserve"> </w:t>
      </w:r>
      <w:r>
        <w:t xml:space="preserve">still ended up with a provenance field that means three different things. That</w:t>
      </w:r>
      <w:r>
        <w:t xml:space="preserve"> </w:t>
      </w:r>
      <w:r>
        <w:t xml:space="preserve">is reported here rather than quietly cleaned, because it is the strongest</w:t>
      </w:r>
      <w:r>
        <w:t xml:space="preserve"> </w:t>
      </w:r>
      <w:r>
        <w:t xml:space="preserve">available argument that provenance needs a vocabulary and a schema rather than</w:t>
      </w:r>
      <w:r>
        <w:t xml:space="preserve"> </w:t>
      </w:r>
      <w:r>
        <w:t xml:space="preserve">a place to write a sentence.</w:t>
      </w:r>
    </w:p>
    <w:bookmarkEnd w:id="24"/>
    <w:bookmarkStart w:id="39" w:name="who-builds-on-the-official-record"/>
    <w:p>
      <w:pPr>
        <w:pStyle w:val="Heading1"/>
      </w:pPr>
      <w:r>
        <w:t xml:space="preserve">Who builds on the official record</w:t>
      </w:r>
    </w:p>
    <w:p>
      <w:pPr>
        <w:pStyle w:val="FirstParagraph"/>
      </w:pPr>
      <w:r>
        <w:t xml:space="preserve">The stakes of this question are not confined to research. Publishing law online</w:t>
      </w:r>
      <w:r>
        <w:t xml:space="preserve"> </w:t>
      </w:r>
      <w:r>
        <w:t xml:space="preserve">converted a reference artefact into an operational one, and a large amount of</w:t>
      </w:r>
      <w:r>
        <w:t xml:space="preserve"> </w:t>
      </w:r>
      <w:r>
        <w:t xml:space="preserve">public and private activity now consumes it directly rather than through a</w:t>
      </w:r>
      <w:r>
        <w:t xml:space="preserve"> </w:t>
      </w:r>
      <w:r>
        <w:t xml:space="preserve">human intermediary who might notice a problem.</w:t>
      </w:r>
    </w:p>
    <w:bookmarkStart w:id="25" w:name="compliance-and-regulatory-technology."/>
    <w:p>
      <w:pPr>
        <w:pStyle w:val="Heading4"/>
      </w:pPr>
      <w:r>
        <w:t xml:space="preserve">Compliance and regulatory technology.</w:t>
      </w:r>
    </w:p>
    <w:p>
      <w:pPr>
        <w:pStyle w:val="FirstParagraph"/>
      </w:pPr>
      <w:r>
        <w:t xml:space="preserve">Systems that determine</w:t>
      </w:r>
      <w:r>
        <w:t xml:space="preserve"> </w:t>
      </w:r>
      <w:r>
        <w:t xml:space="preserve">whether an obligation applies to a firm read statutory text and act on it.</w:t>
      </w:r>
      <w:r>
        <w:t xml:space="preserve"> </w:t>
      </w:r>
      <w:r>
        <w:t xml:space="preserve">Where the text is retrieved once, cached, and served thereafter, a defect at</w:t>
      </w:r>
      <w:r>
        <w:t xml:space="preserve"> </w:t>
      </w:r>
      <w:r>
        <w:t xml:space="preserve">retrieval time propagates silently: nothing downstream can distinguish a</w:t>
      </w:r>
      <w:r>
        <w:t xml:space="preserve"> </w:t>
      </w:r>
      <w:r>
        <w:t xml:space="preserve">provision transcribed from a stable official page from one recovered from an</w:t>
      </w:r>
      <w:r>
        <w:t xml:space="preserve"> </w:t>
      </w:r>
      <w:r>
        <w:t xml:space="preserve">archived capture of a page that no longer resolves.</w:t>
      </w:r>
    </w:p>
    <w:bookmarkEnd w:id="25"/>
    <w:bookmarkStart w:id="26" w:name="governments-own-systems."/>
    <w:p>
      <w:pPr>
        <w:pStyle w:val="Heading4"/>
      </w:pPr>
      <w:r>
        <w:t xml:space="preserve">Government’s own systems.</w:t>
      </w:r>
    </w:p>
    <w:p>
      <w:pPr>
        <w:pStyle w:val="FirstParagraph"/>
      </w:pPr>
      <w:r>
        <w:t xml:space="preserve">Public bodies consume each other’s</w:t>
      </w:r>
      <w:r>
        <w:t xml:space="preserve"> </w:t>
      </w:r>
      <w:r>
        <w:t xml:space="preserve">published rules. An agency implementing a licensing regime relies on the</w:t>
      </w:r>
      <w:r>
        <w:t xml:space="preserve"> </w:t>
      </w:r>
      <w:r>
        <w:t xml:space="preserve">published text of the law that creates it, and on the published text of every</w:t>
      </w:r>
      <w:r>
        <w:t xml:space="preserve"> </w:t>
      </w:r>
      <w:r>
        <w:t xml:space="preserve">instrument that one cross-references. Section 6 describes</w:t>
      </w:r>
      <w:r>
        <w:t xml:space="preserve"> </w:t>
      </w:r>
      <w:r>
        <w:t xml:space="preserve">four instruments where the official record disagrees with itself; a public body</w:t>
      </w:r>
      <w:r>
        <w:t xml:space="preserve"> </w:t>
      </w:r>
      <w:r>
        <w:t xml:space="preserve">reading the portal has exactly the same exposure as a private one.</w:t>
      </w:r>
    </w:p>
    <w:bookmarkEnd w:id="26"/>
    <w:bookmarkStart w:id="27" w:name="X8a9eb9f252bdfe4b97e6404767b0545313dd345"/>
    <w:p>
      <w:pPr>
        <w:pStyle w:val="Heading4"/>
      </w:pPr>
      <w:r>
        <w:t xml:space="preserve">Language models grounded in statutory text.</w:t>
      </w:r>
    </w:p>
    <w:p>
      <w:pPr>
        <w:pStyle w:val="FirstParagraph"/>
      </w:pPr>
      <w:r>
        <w:t xml:space="preserve">Retrieval-augmented</w:t>
      </w:r>
      <w:r>
        <w:t xml:space="preserve"> </w:t>
      </w:r>
      <w:r>
        <w:t xml:space="preserve">systems answer from a corpus, and the corpus was collected at a moment. The</w:t>
      </w:r>
      <w:r>
        <w:t xml:space="preserve"> </w:t>
      </w:r>
      <w:r>
        <w:t xml:space="preserve">literature on these systems concentrates on retrieval quality and on</w:t>
      </w:r>
      <w:r>
        <w:t xml:space="preserve"> </w:t>
      </w:r>
      <w:r>
        <w:t xml:space="preserve">hallucination, both of which presume that the retrieved text is the law. What</w:t>
      </w:r>
      <w:r>
        <w:t xml:space="preserve"> </w:t>
      </w:r>
      <w:r>
        <w:t xml:space="preserve">this article measures is the layer below: whether the text entered the corpus</w:t>
      </w:r>
      <w:r>
        <w:t xml:space="preserve"> </w:t>
      </w:r>
      <w:r>
        <w:t xml:space="preserve">correctly in the first place, and how strongly it is attested.</w:t>
      </w:r>
    </w:p>
    <w:bookmarkEnd w:id="27"/>
    <w:bookmarkStart w:id="28" w:name="open-government-data-more-generally."/>
    <w:p>
      <w:pPr>
        <w:pStyle w:val="Heading4"/>
      </w:pPr>
      <w:r>
        <w:t xml:space="preserve">Open government data more generally.</w:t>
      </w:r>
    </w:p>
    <w:p>
      <w:pPr>
        <w:pStyle w:val="FirstParagraph"/>
      </w:pPr>
      <w:r>
        <w:t xml:space="preserve">Legal publication is one</w:t>
      </w:r>
      <w:r>
        <w:t xml:space="preserve"> </w:t>
      </w:r>
      <w:r>
        <w:t xml:space="preserve">instance of a wider pattern. States publish registries, budgets, procurement</w:t>
      </w:r>
      <w:r>
        <w:t xml:space="preserve"> </w:t>
      </w:r>
      <w:r>
        <w:t xml:space="preserve">notices, statistical series and legal texts, and the same three questions apply</w:t>
      </w:r>
      <w:r>
        <w:t xml:space="preserve"> </w:t>
      </w:r>
      <w:r>
        <w:t xml:space="preserve">to all of them: was it available when it was needed, is it internally</w:t>
      </w:r>
      <w:r>
        <w:t xml:space="preserve"> </w:t>
      </w:r>
      <w:r>
        <w:t xml:space="preserve">consistent, and does anything published alongside the data say how strongly it</w:t>
      </w:r>
      <w:r>
        <w:t xml:space="preserve"> </w:t>
      </w:r>
      <w:r>
        <w:t xml:space="preserve">is attested? Law is a useful place to ask because the correct answer is</w:t>
      </w:r>
      <w:r>
        <w:t xml:space="preserve"> </w:t>
      </w:r>
      <w:r>
        <w:t xml:space="preserve">unusually well defined — there is a right text, published in a gazette, and</w:t>
      </w:r>
      <w:r>
        <w:t xml:space="preserve"> </w:t>
      </w:r>
      <w:r>
        <w:t xml:space="preserve">divergence from it is an error rather than a matter of interpretation.</w:t>
      </w:r>
    </w:p>
    <w:bookmarkEnd w:id="28"/>
    <w:bookmarkStart w:id="29" w:name="in-citation-practice"/>
    <w:p>
      <w:pPr>
        <w:pStyle w:val="Heading2"/>
      </w:pPr>
      <w:r>
        <w:t xml:space="preserve">In citation practice</w:t>
      </w:r>
    </w:p>
    <w:p>
      <w:pPr>
        <w:pStyle w:val="FirstParagraph"/>
      </w:pPr>
      <w:r>
        <w:t xml:space="preserve">Legal citation is built on the premise that a citation is a retrieval</w:t>
      </w:r>
      <w:r>
        <w:t xml:space="preserve"> </w:t>
      </w:r>
      <w:r>
        <w:t xml:space="preserve">instruction: it names an instrument and a provision so that a reader can go and</w:t>
      </w:r>
      <w:r>
        <w:t xml:space="preserve"> </w:t>
      </w:r>
      <w:r>
        <w:t xml:space="preserve">read it. The convention is old enough to predate the question of whether the</w:t>
      </w:r>
      <w:r>
        <w:t xml:space="preserve"> </w:t>
      </w:r>
      <w:r>
        <w:t xml:space="preserve">naming is enough, and it does not encode where the reader should go, or what</w:t>
      </w:r>
      <w:r>
        <w:t xml:space="preserve"> </w:t>
      </w:r>
      <w:r>
        <w:t xml:space="preserve">they should do if what they find there is not what the citing author found.</w:t>
      </w:r>
    </w:p>
    <w:p>
      <w:pPr>
        <w:pStyle w:val="BodyText"/>
      </w:pPr>
      <w:r>
        <w:t xml:space="preserve">For most of the history of legal citation this was adequate, because the</w:t>
      </w:r>
      <w:r>
        <w:t xml:space="preserve"> </w:t>
      </w:r>
      <w:r>
        <w:t xml:space="preserve">authoritative artefact was a printed gazette held in libraries, and the</w:t>
      </w:r>
      <w:r>
        <w:t xml:space="preserve"> </w:t>
      </w:r>
      <w:r>
        <w:t xml:space="preserve">question</w:t>
      </w:r>
      <w:r>
        <w:t xml:space="preserve"> </w:t>
      </w:r>
      <w:r>
        <w:t xml:space="preserve">‘</w:t>
      </w:r>
      <w:r>
        <w:t xml:space="preserve">is this the text?</w:t>
      </w:r>
      <w:r>
        <w:t xml:space="preserve">’</w:t>
      </w:r>
      <w:r>
        <w:t xml:space="preserve"> </w:t>
      </w:r>
      <w:r>
        <w:t xml:space="preserve">had a physical answer. It is less adequate when</w:t>
      </w:r>
      <w:r>
        <w:t xml:space="preserve"> </w:t>
      </w:r>
      <w:r>
        <w:t xml:space="preserve">the authoritative artefact is a database behind a web front end, whose contents</w:t>
      </w:r>
      <w:r>
        <w:t xml:space="preserve"> </w:t>
      </w:r>
      <w:r>
        <w:t xml:space="preserve">can change without notice and whose availability is a function of</w:t>
      </w:r>
      <w:r>
        <w:t xml:space="preserve"> </w:t>
      </w:r>
      <w:r>
        <w:t xml:space="preserve">infrastructure nobody involved in the citation controls.</w:t>
      </w:r>
    </w:p>
    <w:bookmarkEnd w:id="29"/>
    <w:bookmarkStart w:id="33" w:name="in-empirical-legal-research-and-legal-ai"/>
    <w:p>
      <w:pPr>
        <w:pStyle w:val="Heading2"/>
      </w:pPr>
      <w:r>
        <w:t xml:space="preserve">In empirical legal research and legal AI</w:t>
      </w:r>
    </w:p>
    <w:p>
      <w:pPr>
        <w:pStyle w:val="FirstParagraph"/>
      </w:pPr>
      <w:r>
        <w:t xml:space="preserve">The exposure is sharper for work that consumes law at scale. A study measuring</w:t>
      </w:r>
      <w:r>
        <w:t xml:space="preserve"> </w:t>
      </w:r>
      <w:r>
        <w:t xml:space="preserve">the structure of a legal system, or a model trained or grounded on statutory</w:t>
      </w:r>
      <w:r>
        <w:t xml:space="preserve"> </w:t>
      </w:r>
      <w:r>
        <w:t xml:space="preserve">text, takes a snapshot and treats it as the law. Machine-readable legal corpora</w:t>
      </w:r>
      <w:r>
        <w:t xml:space="preserve"> </w:t>
      </w:r>
      <w:r>
        <w:t xml:space="preserve">have grown substantially in recent years, and their documentation concentrates</w:t>
      </w:r>
      <w:r>
        <w:t xml:space="preserve"> </w:t>
      </w:r>
      <w:r>
        <w:t xml:space="preserve">on size, licensing and composition rather than on how the text was obtained or</w:t>
      </w:r>
      <w:r>
        <w:t xml:space="preserve"> </w:t>
      </w:r>
      <w:r>
        <w:t xml:space="preserve">how strongly it is attested.</w:t>
      </w:r>
      <w:r>
        <w:rPr>
          <w:rStyle w:val="FootnoteReference"/>
        </w:rPr>
        <w:footnoteReference w:id="30"/>
      </w:r>
      <w:r>
        <w:t xml:space="preserve"> </w:t>
      </w:r>
      <w:r>
        <w:t xml:space="preserve">The dataset-documentation literature has argued for exactly this kind of</w:t>
      </w:r>
      <w:r>
        <w:t xml:space="preserve"> </w:t>
      </w:r>
      <w:r>
        <w:t xml:space="preserve">disclosure in general terms, and legal corpora have largely not adopted</w:t>
      </w:r>
      <w:r>
        <w:t xml:space="preserve"> </w:t>
      </w:r>
      <w:r>
        <w:t xml:space="preserve">it.</w:t>
      </w:r>
      <w:r>
        <w:rPr>
          <w:rStyle w:val="FootnoteReference"/>
        </w:rPr>
        <w:footnoteReference w:id="31"/>
      </w:r>
    </w:p>
    <w:p>
      <w:pPr>
        <w:pStyle w:val="BodyText"/>
      </w:pPr>
      <w:r>
        <w:t xml:space="preserve">Structural standards for legislative documents can carry provenance metadata,</w:t>
      </w:r>
      <w:r>
        <w:t xml:space="preserve"> </w:t>
      </w:r>
      <w:r>
        <w:t xml:space="preserve">and the capacity has been available for years.</w:t>
      </w:r>
      <w:r>
        <w:rPr>
          <w:rStyle w:val="FootnoteReference"/>
        </w:rPr>
        <w:footnoteReference w:id="32"/>
      </w:r>
      <w:r>
        <w:t xml:space="preserve"> </w:t>
      </w:r>
      <w:r>
        <w:t xml:space="preserve">The gap is not representational. It is</w:t>
      </w:r>
      <w:r>
        <w:t xml:space="preserve"> </w:t>
      </w:r>
      <w:r>
        <w:t xml:space="preserve">that nobody is required to fill the fields, and a corpus that leaves them empty</w:t>
      </w:r>
      <w:r>
        <w:t xml:space="preserve"> </w:t>
      </w:r>
      <w:r>
        <w:t xml:space="preserve">looks exactly like a corpus whose text is impeccable.</w:t>
      </w:r>
    </w:p>
    <w:bookmarkEnd w:id="33"/>
    <w:bookmarkStart w:id="36" w:name="in-the-data-stewardship-literature"/>
    <w:p>
      <w:pPr>
        <w:pStyle w:val="Heading2"/>
      </w:pPr>
      <w:r>
        <w:t xml:space="preserve">In the data-stewardship literature</w:t>
      </w:r>
    </w:p>
    <w:p>
      <w:pPr>
        <w:pStyle w:val="FirstParagraph"/>
      </w:pPr>
      <w:r>
        <w:t xml:space="preserve">The general case for recording provenance is settled. The FAIR principles make</w:t>
      </w:r>
      <w:r>
        <w:t xml:space="preserve"> </w:t>
      </w:r>
      <w:r>
        <w:t xml:space="preserve">‘</w:t>
      </w:r>
      <w:r>
        <w:t xml:space="preserve">Reusable</w:t>
      </w:r>
      <w:r>
        <w:t xml:space="preserve">’</w:t>
      </w:r>
      <w:r>
        <w:t xml:space="preserve"> </w:t>
      </w:r>
      <w:r>
        <w:t xml:space="preserve">conditional on data being</w:t>
      </w:r>
      <w:r>
        <w:t xml:space="preserve"> </w:t>
      </w:r>
      <w:r>
        <w:t xml:space="preserve">‘</w:t>
      </w:r>
      <w:r>
        <w:t xml:space="preserve">associated with detailed provenance</w:t>
      </w:r>
      <w:r>
        <w:t xml:space="preserve">’</w:t>
      </w:r>
      <w:r>
        <w:t xml:space="preserve">, and</w:t>
      </w:r>
      <w:r>
        <w:t xml:space="preserve"> </w:t>
      </w:r>
      <w:r>
        <w:t xml:space="preserve">they are endorsed across research funders, publishers and</w:t>
      </w:r>
      <w:r>
        <w:t xml:space="preserve"> </w:t>
      </w:r>
      <w:r>
        <w:t xml:space="preserve">infrastructures.</w:t>
      </w:r>
      <w:r>
        <w:rPr>
          <w:rStyle w:val="FootnoteReference"/>
        </w:rPr>
        <w:footnoteReference w:id="34"/>
      </w:r>
      <w:r>
        <w:t xml:space="preserve"> </w:t>
      </w:r>
      <w:r>
        <w:t xml:space="preserve">A standard vocabulary for expressing it has existed since</w:t>
      </w:r>
      <w:r>
        <w:t xml:space="preserve"> </w:t>
      </w:r>
      <w:r>
        <w:t xml:space="preserve">2013.</w:t>
      </w:r>
      <w:r>
        <w:rPr>
          <w:rStyle w:val="FootnoteReference"/>
        </w:rPr>
        <w:footnoteReference w:id="35"/>
      </w:r>
    </w:p>
    <w:p>
      <w:pPr>
        <w:pStyle w:val="BodyText"/>
      </w:pPr>
      <w:r>
        <w:t xml:space="preserve">What this article adds is not another argument that provenance matters. It is</w:t>
      </w:r>
      <w:r>
        <w:t xml:space="preserve"> </w:t>
      </w:r>
      <w:r>
        <w:t xml:space="preserve">an account of what provenance turns out to be</w:t>
      </w:r>
      <w:r>
        <w:t xml:space="preserve"> </w:t>
      </w:r>
      <w:r>
        <w:rPr>
          <w:iCs/>
          <w:i/>
        </w:rPr>
        <w:t xml:space="preserve">for</w:t>
      </w:r>
      <w:r>
        <w:t xml:space="preserve">, once a collection is</w:t>
      </w:r>
      <w:r>
        <w:t xml:space="preserve"> </w:t>
      </w:r>
      <w:r>
        <w:t xml:space="preserve">large enough that nobody can remember how any particular record was obtained.</w:t>
      </w:r>
      <w:r>
        <w:t xml:space="preserve"> </w:t>
      </w:r>
      <w:r>
        <w:t xml:space="preserve">The FAIR formulation —</w:t>
      </w:r>
      <w:r>
        <w:t xml:space="preserve"> </w:t>
      </w:r>
      <w:r>
        <w:t xml:space="preserve">‘</w:t>
      </w:r>
      <w:r>
        <w:t xml:space="preserve">detailed provenance</w:t>
      </w:r>
      <w:r>
        <w:t xml:space="preserve">’</w:t>
      </w:r>
      <w:r>
        <w:t xml:space="preserve"> </w:t>
      </w:r>
      <w:r>
        <w:t xml:space="preserve">— is satisfied, on its face, by</w:t>
      </w:r>
      <w:r>
        <w:t xml:space="preserve"> </w:t>
      </w:r>
      <w:r>
        <w:t xml:space="preserve">the free-text field this corpus used. That field was written conscientiously,</w:t>
      </w:r>
      <w:r>
        <w:t xml:space="preserve"> </w:t>
      </w:r>
      <w:r>
        <w:t xml:space="preserve">article by article, by people who cared about the question, and it still could</w:t>
      </w:r>
      <w:r>
        <w:t xml:space="preserve"> </w:t>
      </w:r>
      <w:r>
        <w:t xml:space="preserve">not be counted without first classifying 158 distinct strings by rule, and</w:t>
      </w:r>
      <w:r>
        <w:t xml:space="preserve"> </w:t>
      </w:r>
      <w:r>
        <w:t xml:space="preserve">still contained 24 per cent of values that were not provenance at all.</w:t>
      </w:r>
      <w:r>
        <w:t xml:space="preserve"> </w:t>
      </w:r>
      <w:r>
        <w:t xml:space="preserve">‘</w:t>
      </w:r>
      <w:r>
        <w:t xml:space="preserve">Detailed</w:t>
      </w:r>
      <w:r>
        <w:t xml:space="preserve">’</w:t>
      </w:r>
      <w:r>
        <w:t xml:space="preserve"> </w:t>
      </w:r>
      <w:r>
        <w:t xml:space="preserve">is not the operative property.</w:t>
      </w:r>
      <w:r>
        <w:t xml:space="preserve"> </w:t>
      </w:r>
      <w:r>
        <w:rPr>
          <w:iCs/>
          <w:i/>
        </w:rPr>
        <w:t xml:space="preserve">Closed</w:t>
      </w:r>
      <w:r>
        <w:t xml:space="preserve"> </w:t>
      </w:r>
      <w:r>
        <w:t xml:space="preserve">is: a small set of fields with</w:t>
      </w:r>
      <w:r>
        <w:t xml:space="preserve"> </w:t>
      </w:r>
      <w:r>
        <w:t xml:space="preserve">enumerated values, which is what section 7 proposes.</w:t>
      </w:r>
    </w:p>
    <w:bookmarkEnd w:id="36"/>
    <w:bookmarkStart w:id="38" w:name="in-the-archiving-literature"/>
    <w:p>
      <w:pPr>
        <w:pStyle w:val="Heading2"/>
      </w:pPr>
      <w:r>
        <w:t xml:space="preserve">In the archiving literature</w:t>
      </w:r>
    </w:p>
    <w:p>
      <w:pPr>
        <w:pStyle w:val="FirstParagraph"/>
      </w:pPr>
      <w:r>
        <w:t xml:space="preserve">That legal citations rot is not a new observation. Zittrain, Albert and Lessig</w:t>
      </w:r>
      <w:r>
        <w:t xml:space="preserve"> </w:t>
      </w:r>
      <w:r>
        <w:t xml:space="preserve">found that more than 70 per cent of URLs cited in the</w:t>
      </w:r>
      <w:r>
        <w:t xml:space="preserve"> </w:t>
      </w:r>
      <w:r>
        <w:rPr>
          <w:iCs/>
          <w:i/>
        </w:rPr>
        <w:t xml:space="preserve">Harvard Law Review</w:t>
      </w:r>
      <w:r>
        <w:t xml:space="preserve"> </w:t>
      </w:r>
      <w:r>
        <w:t xml:space="preserve">and comparable journals, and 50 per cent of those in United States Supreme</w:t>
      </w:r>
      <w:r>
        <w:t xml:space="preserve"> </w:t>
      </w:r>
      <w:r>
        <w:t xml:space="preserve">Court opinions, no longer led to the material originally cited — the finding</w:t>
      </w:r>
      <w:r>
        <w:t xml:space="preserve"> </w:t>
      </w:r>
      <w:r>
        <w:t xml:space="preserve">that produced Perma.cc.</w:t>
      </w:r>
      <w:r>
        <w:rPr>
          <w:rStyle w:val="FootnoteReference"/>
        </w:rPr>
        <w:footnoteReference w:id="37"/>
      </w:r>
      <w:r>
        <w:t xml:space="preserve"> </w:t>
      </w:r>
      <w:r>
        <w:t xml:space="preserve">What that literature</w:t>
      </w:r>
      <w:r>
        <w:t xml:space="preserve"> </w:t>
      </w:r>
      <w:r>
        <w:t xml:space="preserve">measures is the failure of a citation to resolve some time after publication. This article measures</w:t>
      </w:r>
      <w:r>
        <w:t xml:space="preserve"> </w:t>
      </w:r>
      <w:r>
        <w:t xml:space="preserve">something adjacent and, for a corpus builder, more immediate: the failure of an</w:t>
      </w:r>
      <w:r>
        <w:t xml:space="preserve"> </w:t>
      </w:r>
      <w:r>
        <w:t xml:space="preserve">official source to resolve</w:t>
      </w:r>
      <w:r>
        <w:t xml:space="preserve"> </w:t>
      </w:r>
      <w:r>
        <w:rPr>
          <w:iCs/>
          <w:i/>
        </w:rPr>
        <w:t xml:space="preserve">at the moment of collection</w:t>
      </w:r>
      <w:r>
        <w:t xml:space="preserve">, when the</w:t>
      </w:r>
      <w:r>
        <w:t xml:space="preserve"> </w:t>
      </w:r>
      <w:r>
        <w:t xml:space="preserve">researcher is actively trying and has every incentive to succeed.</w:t>
      </w:r>
    </w:p>
    <w:bookmarkEnd w:id="38"/>
    <w:bookmarkEnd w:id="39"/>
    <w:bookmarkStart w:id="43" w:name="sec:method"/>
    <w:p>
      <w:pPr>
        <w:pStyle w:val="Heading1"/>
      </w:pPr>
      <w:r>
        <w:t xml:space="preserve">Data and method</w:t>
      </w:r>
    </w:p>
    <w:bookmarkStart w:id="40" w:name="the-provenance-record"/>
    <w:p>
      <w:pPr>
        <w:pStyle w:val="Heading2"/>
      </w:pPr>
      <w:r>
        <w:t xml:space="preserve">The provenance record</w:t>
      </w:r>
    </w:p>
    <w:p>
      <w:pPr>
        <w:pStyle w:val="FirstParagraph"/>
      </w:pPr>
      <w:r>
        <w:t xml:space="preserve">Each verified article in the corpus carries a status string written during the</w:t>
      </w:r>
      <w:r>
        <w:t xml:space="preserve"> </w:t>
      </w:r>
      <w:r>
        <w:t xml:space="preserve">build, naming the sources consulted and how they were reconciled — for</w:t>
      </w:r>
      <w:r>
        <w:t xml:space="preserve"> </w:t>
      </w:r>
      <w:r>
        <w:t xml:space="preserve">example, that the Ministry of Justice portal’s API text was cross-checked</w:t>
      </w:r>
      <w:r>
        <w:t xml:space="preserve"> </w:t>
      </w:r>
      <w:r>
        <w:t xml:space="preserve">against the official PDF from the same portal, or that the live official portal</w:t>
      </w:r>
      <w:r>
        <w:t xml:space="preserve"> </w:t>
      </w:r>
      <w:r>
        <w:t xml:space="preserve">was unreachable and the text rests on two independent secondary sources agreeing</w:t>
      </w:r>
      <w:r>
        <w:t xml:space="preserve"> </w:t>
      </w:r>
      <w:r>
        <w:t xml:space="preserve">word for word. There are 15,408 such articles and 158 distinct strings.</w:t>
      </w:r>
    </w:p>
    <w:p>
      <w:pPr>
        <w:pStyle w:val="BodyText"/>
      </w:pPr>
      <w:r>
        <w:t xml:space="preserve">Two real examples convey the register better than a description. The</w:t>
      </w:r>
      <w:r>
        <w:t xml:space="preserve"> </w:t>
      </w:r>
      <w:r>
        <w:t xml:space="preserve">commonest string in the corpus, carried by 4,520 articles, records that the</w:t>
      </w:r>
      <w:r>
        <w:t xml:space="preserve"> </w:t>
      </w:r>
      <w:r>
        <w:t xml:space="preserve">Ministry of Justice portal’s API text was cross-checked against the official</w:t>
      </w:r>
      <w:r>
        <w:t xml:space="preserve"> </w:t>
      </w:r>
      <w:r>
        <w:t xml:space="preserve">PDF published from the same portal: one official channel, two artefacts, no</w:t>
      </w:r>
      <w:r>
        <w:t xml:space="preserve"> </w:t>
      </w:r>
      <w:r>
        <w:t xml:space="preserve">difficulty. At the other extreme, one instrument’s string records that the</w:t>
      </w:r>
      <w:r>
        <w:t xml:space="preserve"> </w:t>
      </w:r>
      <w:r>
        <w:t xml:space="preserve">authority’s own site PDF was the primary source but had to be fetched through</w:t>
      </w:r>
      <w:r>
        <w:t xml:space="preserve"> </w:t>
      </w:r>
      <w:r>
        <w:t xml:space="preserve">a reader proxy, that a ligature artefact in it was reconstructed, that it was</w:t>
      </w:r>
      <w:r>
        <w:t xml:space="preserve"> </w:t>
      </w:r>
      <w:r>
        <w:t xml:space="preserve">cross-checked against three independent secondary sources, and that the page</w:t>
      </w:r>
      <w:r>
        <w:t xml:space="preserve"> </w:t>
      </w:r>
      <w:r>
        <w:t xml:space="preserve">for the instrument could not be located on the national legislative portal at</w:t>
      </w:r>
      <w:r>
        <w:t xml:space="preserve"> </w:t>
      </w:r>
      <w:r>
        <w:t xml:space="preserve">all. Both are a single field of a single record; the first runs to seven</w:t>
      </w:r>
      <w:r>
        <w:t xml:space="preserve"> </w:t>
      </w:r>
      <w:r>
        <w:t xml:space="preserve">tokens, the second to twenty-one.</w:t>
      </w:r>
    </w:p>
    <w:p>
      <w:pPr>
        <w:pStyle w:val="BodyText"/>
      </w:pPr>
      <w:r>
        <w:t xml:space="preserve">Each instrument also carries a verification tier assigned by hand: two or more</w:t>
      </w:r>
      <w:r>
        <w:t xml:space="preserve"> </w:t>
      </w:r>
      <w:r>
        <w:t xml:space="preserve">official sources in agreement (tier 1); one official source cross-checked</w:t>
      </w:r>
      <w:r>
        <w:t xml:space="preserve"> </w:t>
      </w:r>
      <w:r>
        <w:t xml:space="preserve">against secondary sources (tier 2); no official source reachable, secondary</w:t>
      </w:r>
      <w:r>
        <w:t xml:space="preserve"> </w:t>
      </w:r>
      <w:r>
        <w:t xml:space="preserve">sources only (tier 3); or a single source, or evidence that varies within the</w:t>
      </w:r>
      <w:r>
        <w:t xml:space="preserve"> </w:t>
      </w:r>
      <w:r>
        <w:t xml:space="preserve">instrument (tier 4).</w:t>
      </w:r>
    </w:p>
    <w:bookmarkEnd w:id="40"/>
    <w:bookmarkStart w:id="41" w:name="X9ae376eac3062416ccbbc2495961bca7c212481"/>
    <w:p>
      <w:pPr>
        <w:pStyle w:val="Heading2"/>
      </w:pPr>
      <w:r>
        <w:t xml:space="preserve">Classifying free text, and publishing the classification</w:t>
      </w:r>
    </w:p>
    <w:p>
      <w:pPr>
        <w:pStyle w:val="FirstParagraph"/>
      </w:pPr>
      <w:r>
        <w:t xml:space="preserve">The status strings are not a controlled vocabulary, and treating them as one</w:t>
      </w:r>
      <w:r>
        <w:t xml:space="preserve"> </w:t>
      </w:r>
      <w:r>
        <w:t xml:space="preserve">would be the first mistake available. The analysis therefore classifies each</w:t>
      </w:r>
      <w:r>
        <w:t xml:space="preserve"> </w:t>
      </w:r>
      <w:r>
        <w:t xml:space="preserve">distinct string by an explicit rule and publishes the entire mapping, so that a</w:t>
      </w:r>
      <w:r>
        <w:t xml:space="preserve"> </w:t>
      </w:r>
      <w:r>
        <w:t xml:space="preserve">reader can disagree with any single assignment rather than having to accept the</w:t>
      </w:r>
      <w:r>
        <w:t xml:space="preserve"> </w:t>
      </w:r>
      <w:r>
        <w:t xml:space="preserve">totals.</w:t>
      </w:r>
    </w:p>
    <w:p>
      <w:pPr>
        <w:pStyle w:val="BodyText"/>
      </w:pPr>
      <w:r>
        <w:t xml:space="preserve">A string counts as a</w:t>
      </w:r>
      <w:r>
        <w:t xml:space="preserve"> </w:t>
      </w:r>
      <w:r>
        <w:rPr>
          <w:iCs/>
          <w:i/>
        </w:rPr>
        <w:t xml:space="preserve">provenance statement</w:t>
      </w:r>
      <w:r>
        <w:t xml:space="preserve"> </w:t>
      </w:r>
      <w:r>
        <w:t xml:space="preserve">when it names a source, an</w:t>
      </w:r>
      <w:r>
        <w:t xml:space="preserve"> </w:t>
      </w:r>
      <w:r>
        <w:t xml:space="preserve">artefact or a retrieval route — a portal, a gazette, a named secondary site, a</w:t>
      </w:r>
      <w:r>
        <w:t xml:space="preserve"> </w:t>
      </w:r>
      <w:r>
        <w:t xml:space="preserve">PDF, an archive capture, an OCR pass. Strings that name none of these are not</w:t>
      </w:r>
      <w:r>
        <w:t xml:space="preserve"> </w:t>
      </w:r>
      <w:r>
        <w:t xml:space="preserve">provenance statements: they are lifecycle values such as</w:t>
      </w:r>
      <w:r>
        <w:t xml:space="preserve"> </w:t>
      </w:r>
      <w:r>
        <w:t xml:space="preserve">‘</w:t>
      </w:r>
      <w:r>
        <w:t xml:space="preserve">unchanged</w:t>
      </w:r>
      <w:r>
        <w:t xml:space="preserve">’</w:t>
      </w:r>
      <w:r>
        <w:t xml:space="preserve"> </w:t>
      </w:r>
      <w:r>
        <w:t xml:space="preserve">or</w:t>
      </w:r>
      <w:r>
        <w:t xml:space="preserve"> </w:t>
      </w:r>
      <w:r>
        <w:t xml:space="preserve">‘</w:t>
      </w:r>
      <w:r>
        <w:t xml:space="preserve">amended</w:t>
      </w:r>
      <w:r>
        <w:t xml:space="preserve">’</w:t>
      </w:r>
      <w:r>
        <w:t xml:space="preserve">, and in one case a single Arabic word, that were written into the</w:t>
      </w:r>
      <w:r>
        <w:t xml:space="preserve"> </w:t>
      </w:r>
      <w:r>
        <w:t xml:space="preserve">same field. There are 3,704 such articles, 24.0 per cent of those carrying any</w:t>
      </w:r>
      <w:r>
        <w:t xml:space="preserve"> </w:t>
      </w:r>
      <w:r>
        <w:t xml:space="preserve">status at all. They are excluded from every measure below.</w:t>
      </w:r>
    </w:p>
    <w:p>
      <w:pPr>
        <w:pStyle w:val="BodyText"/>
      </w:pPr>
      <w:r>
        <w:t xml:space="preserve">Within the provenance statements, six measures are computed by token match,</w:t>
      </w:r>
      <w:r>
        <w:t xml:space="preserve"> </w:t>
      </w:r>
      <w:r>
        <w:t xml:space="preserve">each reported as a share of articles and as a share of instruments. The</w:t>
      </w:r>
      <w:r>
        <w:t xml:space="preserve"> </w:t>
      </w:r>
      <w:r>
        <w:t xml:space="preserve">measures overlap by design: an instrument reached through an archive because</w:t>
      </w:r>
      <w:r>
        <w:t xml:space="preserve"> </w:t>
      </w:r>
      <w:r>
        <w:t xml:space="preserve">the live portal was down scores on both. Every count is published with its</w:t>
      </w:r>
      <w:r>
        <w:t xml:space="preserve"> </w:t>
      </w:r>
      <w:r>
        <w:t xml:space="preserve">underlying string table.</w:t>
      </w:r>
    </w:p>
    <w:bookmarkEnd w:id="41"/>
    <w:bookmarkStart w:id="42" w:name="two-decisions-that-changed-the-numbers"/>
    <w:p>
      <w:pPr>
        <w:pStyle w:val="Heading2"/>
      </w:pPr>
      <w:r>
        <w:t xml:space="preserve">Two decisions that changed the numbers</w:t>
      </w:r>
    </w:p>
    <w:p>
      <w:pPr>
        <w:pStyle w:val="FirstParagraph"/>
      </w:pPr>
      <w:r>
        <w:t xml:space="preserve">Two methodological choices are recorded because each moved a headline, and a</w:t>
      </w:r>
      <w:r>
        <w:t xml:space="preserve"> </w:t>
      </w:r>
      <w:r>
        <w:t xml:space="preserve">reader is entitled to know which way.</w:t>
      </w:r>
    </w:p>
    <w:p>
      <w:pPr>
        <w:pStyle w:val="BodyText"/>
      </w:pPr>
      <w:r>
        <w:rPr>
          <w:bCs/>
          <w:b/>
        </w:rPr>
        <w:t xml:space="preserve">Weighting.</w:t>
      </w:r>
      <w:r>
        <w:t xml:space="preserve"> </w:t>
      </w:r>
      <w:r>
        <w:t xml:space="preserve">Measures are computed per article, not per instrument. A</w:t>
      </w:r>
      <w:r>
        <w:t xml:space="preserve"> </w:t>
      </w:r>
      <w:r>
        <w:t xml:space="preserve">single-source instrument of five articles and one of three hundred are not the</w:t>
      </w:r>
      <w:r>
        <w:t xml:space="preserve"> </w:t>
      </w:r>
      <w:r>
        <w:t xml:space="preserve">same exposure, and an instrument count cannot tell them apart. The two</w:t>
      </w:r>
      <w:r>
        <w:t xml:space="preserve"> </w:t>
      </w:r>
      <w:r>
        <w:t xml:space="preserve">denominators diverge in ways that are themselves informative: optical</w:t>
      </w:r>
      <w:r>
        <w:t xml:space="preserve"> </w:t>
      </w:r>
      <w:r>
        <w:t xml:space="preserve">reconstruction touches 8.2 per cent of articles but 14.0 per cent of</w:t>
      </w:r>
      <w:r>
        <w:t xml:space="preserve"> </w:t>
      </w:r>
      <w:r>
        <w:t xml:space="preserve">instruments, which is what it looks like when the hardest sources to obtain are</w:t>
      </w:r>
      <w:r>
        <w:t xml:space="preserve"> </w:t>
      </w:r>
      <w:r>
        <w:t xml:space="preserve">also the shortest documents.</w:t>
      </w:r>
    </w:p>
    <w:p>
      <w:pPr>
        <w:pStyle w:val="BodyText"/>
      </w:pPr>
      <w:r>
        <w:rPr>
          <w:bCs/>
          <w:b/>
        </w:rPr>
        <w:t xml:space="preserve">A prior estimate was wrong.</w:t>
      </w:r>
      <w:r>
        <w:t xml:space="preserve"> </w:t>
      </w:r>
      <w:r>
        <w:t xml:space="preserve">An earlier pass over the registry’s</w:t>
      </w:r>
      <w:r>
        <w:t xml:space="preserve"> </w:t>
      </w:r>
      <w:r>
        <w:t xml:space="preserve">free-text notes, matching patterns against prose rather than against the</w:t>
      </w:r>
      <w:r>
        <w:t xml:space="preserve"> </w:t>
      </w:r>
      <w:r>
        <w:t xml:space="preserve">structured provenance field, suggested that 47 per cent of instruments recorded</w:t>
      </w:r>
      <w:r>
        <w:t xml:space="preserve"> </w:t>
      </w:r>
      <w:r>
        <w:t xml:space="preserve">an unreachable official source. The disciplined measure is 28.0 per cent of</w:t>
      </w:r>
      <w:r>
        <w:t xml:space="preserve"> </w:t>
      </w:r>
      <w:r>
        <w:t xml:space="preserve">instruments and 20.0 per cent of articles. The first figure was an artefact of</w:t>
      </w:r>
      <w:r>
        <w:t xml:space="preserve"> </w:t>
      </w:r>
      <w:r>
        <w:t xml:space="preserve">matching loosely-worded notes, and it is reported here because a reader</w:t>
      </w:r>
      <w:r>
        <w:t xml:space="preserve"> </w:t>
      </w:r>
      <w:r>
        <w:t xml:space="preserve">encountering both should know which to use and why.</w:t>
      </w:r>
    </w:p>
    <w:bookmarkEnd w:id="42"/>
    <w:bookmarkEnd w:id="43"/>
    <w:bookmarkStart w:id="45" w:name="what-it-took-to-obtain-the-text"/>
    <w:p>
      <w:pPr>
        <w:pStyle w:val="Heading1"/>
      </w:pPr>
      <w:r>
        <w:t xml:space="preserve">What it took to obtain the text</w:t>
      </w:r>
    </w:p>
    <w:p>
      <w:pPr>
        <w:pStyle w:val="FirstParagraph"/>
      </w:pPr>
      <w:r>
        <w:rPr>
          <w:iCs/>
          <w:i/>
        </w:rPr>
        <w:t xml:space="preserve">[Figure 1 near here — supplied as a separate file, fig1_access.eps]</w:t>
      </w:r>
    </w:p>
    <w:p>
      <w:pPr>
        <w:pStyle w:val="BodyText"/>
      </w:pPr>
      <w:r>
        <w:rPr>
          <w:bCs/>
          <w:b/>
        </w:rPr>
        <w:t xml:space="preserve">Figure 1.</w:t>
      </w:r>
      <w:r>
        <w:t xml:space="preserve"> </w:t>
      </w:r>
      <w:r>
        <w:t xml:space="preserve">The friction documented in the build record, as a share of articles</w:t>
      </w:r>
      <w:r>
        <w:t xml:space="preserve"> </w:t>
      </w:r>
      <w:r>
        <w:t xml:space="preserve">and of instruments. The measures overlap: an instrument reached through an</w:t>
      </w:r>
      <w:r>
        <w:t xml:space="preserve"> </w:t>
      </w:r>
      <w:r>
        <w:t xml:space="preserve">archive because the live portal was down appears in both of the top two rows.</w:t>
      </w:r>
    </w:p>
    <w:bookmarkStart w:id="44" w:name="tab:access"/>
    <w:p>
      <w:pPr>
        <w:pStyle w:val="TableCaption"/>
      </w:pPr>
      <w:r>
        <w:t xml:space="preserve">Measured over the 11,704 articles whose status field is a provenance</w:t>
      </w:r>
      <w:r>
        <w:t xml:space="preserve"> </w:t>
      </w:r>
      <w:r>
        <w:t xml:space="preserve">statement, across 200 instruments.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Measured over the 11,704 articles whose status field is a provenance statement, across 200 instruments.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Articles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Instruments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Official source unreachable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Reached through a web archive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 source 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Required optical or visual reconstruction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Defect recorded in the official source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Multi-source cross-verification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86.1%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87.5%</w:t>
            </w:r>
          </w:p>
        </w:tc>
      </w:tr>
    </w:tbl>
    <w:bookmarkEnd w:id="44"/>
    <w:p>
      <w:pPr>
        <w:pStyle w:val="BodyText"/>
      </w:pPr>
      <w:r>
        <w:t xml:space="preserve">Table 1 and Figure 1 give the result. Four things</w:t>
      </w:r>
      <w:r>
        <w:t xml:space="preserve"> </w:t>
      </w:r>
      <w:r>
        <w:t xml:space="preserve">in it are worth drawing out.</w:t>
      </w:r>
    </w:p>
    <w:p>
      <w:pPr>
        <w:pStyle w:val="BodyText"/>
      </w:pPr>
      <w:r>
        <w:rPr>
          <w:bCs/>
          <w:b/>
        </w:rPr>
        <w:t xml:space="preserve">The last row is the good news and it should be read first.</w:t>
      </w:r>
      <w:r>
        <w:t xml:space="preserve"> </w:t>
      </w:r>
      <w:r>
        <w:t xml:space="preserve">86.1 per</w:t>
      </w:r>
      <w:r>
        <w:t xml:space="preserve"> </w:t>
      </w:r>
      <w:r>
        <w:t xml:space="preserve">cent of articles were cross-verified against more than one source. This is not</w:t>
      </w:r>
      <w:r>
        <w:t xml:space="preserve"> </w:t>
      </w:r>
      <w:r>
        <w:t xml:space="preserve">a portrait of a corpus assembled carelessly from whatever was to hand, and the</w:t>
      </w:r>
      <w:r>
        <w:t xml:space="preserve"> </w:t>
      </w:r>
      <w:r>
        <w:t xml:space="preserve">other rows should be read in that light: they describe what a careful process</w:t>
      </w:r>
      <w:r>
        <w:t xml:space="preserve"> </w:t>
      </w:r>
      <w:r>
        <w:t xml:space="preserve">had to do, not what a careless one got away with.</w:t>
      </w:r>
    </w:p>
    <w:p>
      <w:pPr>
        <w:pStyle w:val="BodyText"/>
      </w:pPr>
      <w:r>
        <w:rPr>
          <w:bCs/>
          <w:b/>
        </w:rPr>
        <w:t xml:space="preserve">Unavailability and archive use are close, and they overlap by about</w:t>
      </w:r>
      <w:r>
        <w:rPr>
          <w:bCs/>
          <w:b/>
        </w:rPr>
        <w:t xml:space="preserve"> </w:t>
      </w:r>
      <w:r>
        <w:rPr>
          <w:bCs/>
          <w:b/>
        </w:rPr>
        <w:t xml:space="preserve">two thirds.</w:t>
      </w:r>
      <w:r>
        <w:t xml:space="preserve"> </w:t>
      </w:r>
      <w:r>
        <w:t xml:space="preserve">The totals are 20.0 per cent against 20.9 per cent, with 28.0 per</w:t>
      </w:r>
      <w:r>
        <w:t xml:space="preserve"> </w:t>
      </w:r>
      <w:r>
        <w:t xml:space="preserve">cent of instruments on both — but matching totals do not establish that the</w:t>
      </w:r>
      <w:r>
        <w:t xml:space="preserve"> </w:t>
      </w:r>
      <w:r>
        <w:t xml:space="preserve">same articles are involved, so the joint distribution is computed. Of the</w:t>
      </w:r>
      <w:r>
        <w:t xml:space="preserve"> </w:t>
      </w:r>
      <w:r>
        <w:t xml:space="preserve">articles whose official source was unreachable, 67.8 per cent were recovered</w:t>
      </w:r>
      <w:r>
        <w:t xml:space="preserve"> </w:t>
      </w:r>
      <w:r>
        <w:t xml:space="preserve">through an archive; of the articles obtained through an archive, 65.1 per cent</w:t>
      </w:r>
      <w:r>
        <w:t xml:space="preserve"> </w:t>
      </w:r>
      <w:r>
        <w:t xml:space="preserve">had a recorded unavailability. The archive is mostly not supplying different or</w:t>
      </w:r>
      <w:r>
        <w:t xml:space="preserve"> </w:t>
      </w:r>
      <w:r>
        <w:t xml:space="preserve">better material: it is supplying the official material, at a moment when the</w:t>
      </w:r>
      <w:r>
        <w:t xml:space="preserve"> </w:t>
      </w:r>
      <w:r>
        <w:t xml:space="preserve">official channel could not. The remainders matter too, and neither is small:</w:t>
      </w:r>
      <w:r>
        <w:t xml:space="preserve"> </w:t>
      </w:r>
      <w:r>
        <w:t xml:space="preserve">852 articles used an archive with no unavailability recorded — an archived</w:t>
      </w:r>
      <w:r>
        <w:t xml:space="preserve"> </w:t>
      </w:r>
      <w:r>
        <w:t xml:space="preserve">capture preferred for its stability, or consulted to check whether a live page</w:t>
      </w:r>
      <w:r>
        <w:t xml:space="preserve"> </w:t>
      </w:r>
      <w:r>
        <w:t xml:space="preserve">had changed — and 754 record an unavailability that no archive resolved.</w:t>
      </w:r>
    </w:p>
    <w:p>
      <w:pPr>
        <w:pStyle w:val="BodyText"/>
      </w:pPr>
      <w:r>
        <w:rPr>
          <w:bCs/>
          <w:b/>
        </w:rPr>
        <w:t xml:space="preserve">Optical reconstruction is an instrument-level burden.</w:t>
      </w:r>
      <w:r>
        <w:t xml:space="preserve"> </w:t>
      </w:r>
      <w:r>
        <w:t xml:space="preserve">8.2 per cent of</w:t>
      </w:r>
      <w:r>
        <w:t xml:space="preserve"> </w:t>
      </w:r>
      <w:r>
        <w:t xml:space="preserve">articles but 14.0 per cent of instruments. The sources that had to be read as</w:t>
      </w:r>
      <w:r>
        <w:t xml:space="preserve"> </w:t>
      </w:r>
      <w:r>
        <w:t xml:space="preserve">images — scanned resolutions, PDFs with broken text layers, ministry</w:t>
      </w:r>
      <w:r>
        <w:t xml:space="preserve"> </w:t>
      </w:r>
      <w:r>
        <w:t xml:space="preserve">documents published as pictures of pages — are disproportionately short</w:t>
      </w:r>
      <w:r>
        <w:t xml:space="preserve"> </w:t>
      </w:r>
      <w:r>
        <w:t xml:space="preserve">instruments. One in seven instruments in this corpus could not be read by</w:t>
      </w:r>
      <w:r>
        <w:t xml:space="preserve"> </w:t>
      </w:r>
      <w:r>
        <w:t xml:space="preserve">machine at all without an optical pass, and each such pass is an opportunity</w:t>
      </w:r>
      <w:r>
        <w:t xml:space="preserve"> </w:t>
      </w:r>
      <w:r>
        <w:t xml:space="preserve">for a silent error that no downstream user can detect.</w:t>
      </w:r>
    </w:p>
    <w:p>
      <w:pPr>
        <w:pStyle w:val="BodyText"/>
      </w:pPr>
      <w:r>
        <w:rPr>
          <w:bCs/>
          <w:b/>
        </w:rPr>
        <w:t xml:space="preserve">Defects in the official text are rarer than access failures but not</w:t>
      </w:r>
      <w:r>
        <w:rPr>
          <w:bCs/>
          <w:b/>
        </w:rPr>
        <w:t xml:space="preserve"> </w:t>
      </w:r>
      <w:r>
        <w:rPr>
          <w:bCs/>
          <w:b/>
        </w:rPr>
        <w:t xml:space="preserve">rare.</w:t>
      </w:r>
      <w:r>
        <w:t xml:space="preserve"> </w:t>
      </w:r>
      <w:r>
        <w:t xml:space="preserve">4.9 per cent of articles carry a record of a defect in the source</w:t>
      </w:r>
      <w:r>
        <w:t xml:space="preserve"> </w:t>
      </w:r>
      <w:r>
        <w:t xml:space="preserve">itself: a typographical error preserved rather than silently corrected,</w:t>
      </w:r>
      <w:r>
        <w:t xml:space="preserve"> </w:t>
      </w:r>
      <w:r>
        <w:t xml:space="preserve">ligature corruption from PDF extraction, a scrambled text layer, a truncated</w:t>
      </w:r>
      <w:r>
        <w:t xml:space="preserve"> </w:t>
      </w:r>
      <w:r>
        <w:t xml:space="preserve">page. These are recorded because the build policy was to preserve source</w:t>
      </w:r>
      <w:r>
        <w:t xml:space="preserve"> </w:t>
      </w:r>
      <w:r>
        <w:t xml:space="preserve">defects verbatim and document them, rather than to tidy them. A corpus that</w:t>
      </w:r>
      <w:r>
        <w:t xml:space="preserve"> </w:t>
      </w:r>
      <w:r>
        <w:t xml:space="preserve">tidies them looks cleaner and tells its users less.</w:t>
      </w:r>
    </w:p>
    <w:bookmarkEnd w:id="45"/>
    <w:bookmarkStart w:id="48" w:name="the-strength-of-the-evidence"/>
    <w:p>
      <w:pPr>
        <w:pStyle w:val="Heading1"/>
      </w:pPr>
      <w:r>
        <w:t xml:space="preserve">The strength of the evidence</w:t>
      </w:r>
    </w:p>
    <w:p>
      <w:pPr>
        <w:pStyle w:val="FirstParagraph"/>
      </w:pPr>
      <w:r>
        <w:rPr>
          <w:iCs/>
          <w:i/>
        </w:rPr>
        <w:t xml:space="preserve">[Figure 2 near here — supplied as a separate file, fig2_tiers.eps]</w:t>
      </w:r>
    </w:p>
    <w:p>
      <w:pPr>
        <w:pStyle w:val="BodyText"/>
      </w:pPr>
      <w:r>
        <w:rPr>
          <w:bCs/>
          <w:b/>
        </w:rPr>
        <w:t xml:space="preserve">Figure 2.</w:t>
      </w:r>
      <w:r>
        <w:t xml:space="preserve"> </w:t>
      </w:r>
      <w:r>
        <w:t xml:space="preserve">Verification tiers weighted by article. The tiers are ordinal, from</w:t>
      </w:r>
      <w:r>
        <w:t xml:space="preserve"> </w:t>
      </w:r>
      <w:r>
        <w:t xml:space="preserve">two or more agreeing official sources to a single source or evidence that</w:t>
      </w:r>
      <w:r>
        <w:t xml:space="preserve"> </w:t>
      </w:r>
      <w:r>
        <w:t xml:space="preserve">varies within the instrument.</w:t>
      </w:r>
    </w:p>
    <w:p>
      <w:pPr>
        <w:pStyle w:val="BodyText"/>
      </w:pPr>
      <w:r>
        <w:t xml:space="preserve">Figure 2 weights the hand-assigned tiers by article. Just under</w:t>
      </w:r>
      <w:r>
        <w:t xml:space="preserve"> </w:t>
      </w:r>
      <w:r>
        <w:t xml:space="preserve">two thirds of the corpus rests on two or more official sources in agreement.</w:t>
      </w:r>
      <w:r>
        <w:t xml:space="preserve"> </w:t>
      </w:r>
      <w:r>
        <w:t xml:space="preserve">The remaining third does not, and 17.0 per cent has no cross-verified official</w:t>
      </w:r>
      <w:r>
        <w:t xml:space="preserve"> </w:t>
      </w:r>
      <w:r>
        <w:t xml:space="preserve">primary source at all: 4.5 per cent because no official source could be reached,</w:t>
      </w:r>
      <w:r>
        <w:t xml:space="preserve"> </w:t>
      </w:r>
      <w:r>
        <w:t xml:space="preserve">and 12.5 per cent because the evidence is single-source or varies within the</w:t>
      </w:r>
      <w:r>
        <w:t xml:space="preserve"> </w:t>
      </w:r>
      <w:r>
        <w:t xml:space="preserve">instrument.</w:t>
      </w:r>
    </w:p>
    <w:bookmarkStart w:id="46" w:name="what-a-tier-means-in-practice"/>
    <w:p>
      <w:pPr>
        <w:pStyle w:val="Heading2"/>
      </w:pPr>
      <w:r>
        <w:t xml:space="preserve">What a tier means in practice</w:t>
      </w:r>
    </w:p>
    <w:p>
      <w:pPr>
        <w:pStyle w:val="FirstParagraph"/>
      </w:pPr>
      <w:r>
        <w:t xml:space="preserve">The tiers are easier to trust with two instruments behind them.</w:t>
      </w:r>
    </w:p>
    <w:p>
      <w:pPr>
        <w:pStyle w:val="BodyText"/>
      </w:pPr>
      <w:r>
        <w:t xml:space="preserve">At the top, the Regulation Organizing the Work of Judicial Assistants: every</w:t>
      </w:r>
      <w:r>
        <w:t xml:space="preserve"> </w:t>
      </w:r>
      <w:r>
        <w:t xml:space="preserve">article was taken from the Ministry of Justice portal’s database and checked,</w:t>
      </w:r>
      <w:r>
        <w:t xml:space="preserve"> </w:t>
      </w:r>
      <w:r>
        <w:t xml:space="preserve">article by article, against the official PDF published by the same ministry</w:t>
      </w:r>
      <w:r>
        <w:t xml:space="preserve"> </w:t>
      </w:r>
      <w:r>
        <w:t xml:space="preserve">from the same portal. Two official artefacts, no access failure, agreement</w:t>
      </w:r>
      <w:r>
        <w:t xml:space="preserve"> </w:t>
      </w:r>
      <w:r>
        <w:t xml:space="preserve">throughout. A user who needs to be certain of a provision in that instrument</w:t>
      </w:r>
      <w:r>
        <w:t xml:space="preserve"> </w:t>
      </w:r>
      <w:r>
        <w:t xml:space="preserve">can be about as certain as the published record permits.</w:t>
      </w:r>
    </w:p>
    <w:p>
      <w:pPr>
        <w:pStyle w:val="BodyText"/>
      </w:pPr>
      <w:r>
        <w:t xml:space="preserve">At the bottom, the Accredited Valuers Law — and it illustrates something more</w:t>
      </w:r>
      <w:r>
        <w:t xml:space="preserve"> </w:t>
      </w:r>
      <w:r>
        <w:t xml:space="preserve">useful than a simple contrast. Forty of its forty-five articles were taken from</w:t>
      </w:r>
      <w:r>
        <w:t xml:space="preserve"> </w:t>
      </w:r>
      <w:r>
        <w:t xml:space="preserve">the administering authority’s own official PDF and cross-verified against the</w:t>
      </w:r>
      <w:r>
        <w:t xml:space="preserve"> </w:t>
      </w:r>
      <w:r>
        <w:t xml:space="preserve">official gazette and two independent reproductions, which is close to the</w:t>
      </w:r>
      <w:r>
        <w:t xml:space="preserve"> </w:t>
      </w:r>
      <w:r>
        <w:t xml:space="preserve">strongest evidence in the corpus. The remaining five rest on a single source,</w:t>
      </w:r>
      <w:r>
        <w:t xml:space="preserve"> </w:t>
      </w:r>
      <w:r>
        <w:t xml:space="preserve">because the primary legislative portal could not be reached for them. The whole</w:t>
      </w:r>
      <w:r>
        <w:t xml:space="preserve"> </w:t>
      </w:r>
      <w:r>
        <w:t xml:space="preserve">instrument is graded tier 4.</w:t>
      </w:r>
    </w:p>
    <w:p>
      <w:pPr>
        <w:pStyle w:val="BodyText"/>
      </w:pPr>
      <w:r>
        <w:t xml:space="preserve">That is the scheme working as designed: a tier describes the weakest evidence</w:t>
      </w:r>
      <w:r>
        <w:t xml:space="preserve"> </w:t>
      </w:r>
      <w:r>
        <w:t xml:space="preserve">anywhere in the instrument, because a user asking about one provision has no</w:t>
      </w:r>
      <w:r>
        <w:t xml:space="preserve"> </w:t>
      </w:r>
      <w:r>
        <w:t xml:space="preserve">way to know whether it falls in the strong forty or the weak five. It also</w:t>
      </w:r>
      <w:r>
        <w:t xml:space="preserve"> </w:t>
      </w:r>
      <w:r>
        <w:t xml:space="preserve">means the tier figures are pessimistic at the instrument level, which</w:t>
      </w:r>
      <w:r>
        <w:t xml:space="preserve"> </w:t>
      </w:r>
      <w:r>
        <w:t xml:space="preserve">section 5.2 takes up alongside the bias that runs the other</w:t>
      </w:r>
      <w:r>
        <w:t xml:space="preserve"> </w:t>
      </w:r>
      <w:r>
        <w:t xml:space="preserve">way.</w:t>
      </w:r>
    </w:p>
    <w:p>
      <w:pPr>
        <w:pStyle w:val="BodyText"/>
      </w:pPr>
      <w:r>
        <w:t xml:space="preserve">Between them sits the largest group by instrument count: one official source</w:t>
      </w:r>
      <w:r>
        <w:t xml:space="preserve"> </w:t>
      </w:r>
      <w:r>
        <w:t xml:space="preserve">reached, then cross-checked against independent non-official reproductions.</w:t>
      </w:r>
      <w:r>
        <w:t xml:space="preserve"> </w:t>
      </w:r>
      <w:r>
        <w:t xml:space="preserve">That is a defensible standard and it is not the same as two official sources</w:t>
      </w:r>
      <w:r>
        <w:t xml:space="preserve"> </w:t>
      </w:r>
      <w:r>
        <w:t xml:space="preserve">agreeing, because the non-official reproduction may itself derive from the</w:t>
      </w:r>
      <w:r>
        <w:t xml:space="preserve"> </w:t>
      </w:r>
      <w:r>
        <w:t xml:space="preserve">official one — a possibility this corpus flags where it was detected but</w:t>
      </w:r>
      <w:r>
        <w:t xml:space="preserve"> </w:t>
      </w:r>
      <w:r>
        <w:t xml:space="preserve">cannot exclude in general.</w:t>
      </w:r>
    </w:p>
    <w:bookmarkEnd w:id="46"/>
    <w:bookmarkStart w:id="47" w:name="sec:direction"/>
    <w:p>
      <w:pPr>
        <w:pStyle w:val="Heading2"/>
      </w:pPr>
      <w:r>
        <w:t xml:space="preserve">The direction of the error</w:t>
      </w:r>
    </w:p>
    <w:p>
      <w:pPr>
        <w:pStyle w:val="FirstParagraph"/>
      </w:pPr>
      <w:r>
        <w:t xml:space="preserve">Two biases act on the 17.0 per cent figure, and they pull in opposite</w:t>
      </w:r>
      <w:r>
        <w:t xml:space="preserve"> </w:t>
      </w:r>
      <w:r>
        <w:t xml:space="preserve">directions. Reporting only the one that flatters the argument would be the</w:t>
      </w:r>
      <w:r>
        <w:t xml:space="preserve"> </w:t>
      </w:r>
      <w:r>
        <w:t xml:space="preserve">move a reader should most distrust, so both are stated.</w:t>
      </w:r>
    </w:p>
    <w:p>
      <w:pPr>
        <w:pStyle w:val="BodyText"/>
      </w:pPr>
      <w:r>
        <w:rPr>
          <w:bCs/>
          <w:b/>
        </w:rPr>
        <w:t xml:space="preserve">Sample coverage understates it.</w:t>
      </w:r>
      <w:r>
        <w:t xml:space="preserve"> </w:t>
      </w:r>
      <w:r>
        <w:t xml:space="preserve">Not every instrument has article-level</w:t>
      </w:r>
      <w:r>
        <w:t xml:space="preserve"> </w:t>
      </w:r>
      <w:r>
        <w:t xml:space="preserve">verified records, and the ones that do are not a random draw. Coverage by tier</w:t>
      </w:r>
      <w:r>
        <w:t xml:space="preserve"> </w:t>
      </w:r>
      <w:r>
        <w:t xml:space="preserve">is 87 per cent for tier 1, 59 per cent for tier 2, 28 per cent for tier 3 and 73</w:t>
      </w:r>
      <w:r>
        <w:t xml:space="preserve"> </w:t>
      </w:r>
      <w:r>
        <w:t xml:space="preserve">per cent for tier 4. The pattern is not monotonic, but tier 3 — the</w:t>
      </w:r>
      <w:r>
        <w:t xml:space="preserve"> </w:t>
      </w:r>
      <w:r>
        <w:t xml:space="preserve">instruments whose official source could not be reached at all — is by a wide</w:t>
      </w:r>
      <w:r>
        <w:t xml:space="preserve"> </w:t>
      </w:r>
      <w:r>
        <w:t xml:space="preserve">margin the least represented, so the instruments most likely to be missing are</w:t>
      </w:r>
      <w:r>
        <w:t xml:space="preserve"> </w:t>
      </w:r>
      <w:r>
        <w:t xml:space="preserve">those whose evidence is weakest. A registry-wide count of instruments, which</w:t>
      </w:r>
      <w:r>
        <w:t xml:space="preserve"> </w:t>
      </w:r>
      <w:r>
        <w:t xml:space="preserve">does not have this problem, puts tiers 3 and 4 together at 76 of 291</w:t>
      </w:r>
      <w:r>
        <w:t xml:space="preserve"> </w:t>
      </w:r>
      <w:r>
        <w:t xml:space="preserve">instruments, or 26 per cent.</w:t>
      </w:r>
    </w:p>
    <w:p>
      <w:pPr>
        <w:pStyle w:val="BodyText"/>
      </w:pPr>
      <w:r>
        <w:rPr>
          <w:bCs/>
          <w:b/>
        </w:rPr>
        <w:t xml:space="preserve">Worst-part grading overstates it.</w:t>
      </w:r>
      <w:r>
        <w:t xml:space="preserve"> </w:t>
      </w:r>
      <w:r>
        <w:t xml:space="preserve">A tier is assigned to an instrument</w:t>
      </w:r>
      <w:r>
        <w:t xml:space="preserve"> </w:t>
      </w:r>
      <w:r>
        <w:t xml:space="preserve">on its weakest evidence, so an instrument like the Accredited Valuers Law —</w:t>
      </w:r>
      <w:r>
        <w:t xml:space="preserve"> </w:t>
      </w:r>
      <w:r>
        <w:t xml:space="preserve">forty articles at close to the strongest standard and five at the weakest —</w:t>
      </w:r>
      <w:r>
        <w:t xml:space="preserve"> </w:t>
      </w:r>
      <w:r>
        <w:t xml:space="preserve">contributes all forty-five of its articles to tier 4. Article-weighted tier</w:t>
      </w:r>
      <w:r>
        <w:t xml:space="preserve"> </w:t>
      </w:r>
      <w:r>
        <w:t xml:space="preserve">figures therefore attribute strong evidence to a weak tier whenever the</w:t>
      </w:r>
      <w:r>
        <w:t xml:space="preserve"> </w:t>
      </w:r>
      <w:r>
        <w:t xml:space="preserve">weakness is localised.</w:t>
      </w:r>
    </w:p>
    <w:p>
      <w:pPr>
        <w:pStyle w:val="BodyText"/>
      </w:pPr>
      <w:r>
        <w:t xml:space="preserve">We cannot net these against each other, and we do not try. What can be said is</w:t>
      </w:r>
      <w:r>
        <w:t xml:space="preserve"> </w:t>
      </w:r>
      <w:r>
        <w:t xml:space="preserve">narrower and still worth saying: the share of this corpus that a careful user</w:t>
      </w:r>
      <w:r>
        <w:t xml:space="preserve"> </w:t>
      </w:r>
      <w:r>
        <w:t xml:space="preserve">would want to treat as less than fully attested is somewhere in the region of a</w:t>
      </w:r>
      <w:r>
        <w:t xml:space="preserve"> </w:t>
      </w:r>
      <w:r>
        <w:t xml:space="preserve">sixth to a quarter, depending on which unit is counted and how conservatively a</w:t>
      </w:r>
      <w:r>
        <w:t xml:space="preserve"> </w:t>
      </w:r>
      <w:r>
        <w:t xml:space="preserve">mixed instrument is graded — and it is not the zero that a dataset shipping</w:t>
      </w:r>
      <w:r>
        <w:t xml:space="preserve"> </w:t>
      </w:r>
      <w:r>
        <w:t xml:space="preserve">text alone implicitly asserts.</w:t>
      </w:r>
    </w:p>
    <w:bookmarkEnd w:id="47"/>
    <w:bookmarkEnd w:id="48"/>
    <w:bookmarkStart w:id="50" w:name="sec:contradiction"/>
    <w:p>
      <w:pPr>
        <w:pStyle w:val="Heading1"/>
      </w:pPr>
      <w:r>
        <w:t xml:space="preserve">When the official record disagrees with itself</w:t>
      </w:r>
    </w:p>
    <w:p>
      <w:pPr>
        <w:pStyle w:val="FirstParagraph"/>
      </w:pPr>
      <w:r>
        <w:t xml:space="preserve">The sharpest cases are the ones where the problem is not access but</w:t>
      </w:r>
      <w:r>
        <w:t xml:space="preserve"> </w:t>
      </w:r>
      <w:r>
        <w:t xml:space="preserve">consistency. In four instruments the build record documents the official source</w:t>
      </w:r>
      <w:r>
        <w:t xml:space="preserve"> </w:t>
      </w:r>
      <w:r>
        <w:t xml:space="preserve">contradicting itself, across nine articles in total.</w:t>
      </w:r>
    </w:p>
    <w:p>
      <w:pPr>
        <w:pStyle w:val="BodyText"/>
      </w:pPr>
      <w:r>
        <w:t xml:space="preserve">A note on that count, because it is easy to inflate. A provenance string is</w:t>
      </w:r>
      <w:r>
        <w:t xml:space="preserve"> </w:t>
      </w:r>
      <w:r>
        <w:t xml:space="preserve">attached to every article of the instrument it describes, so it records the</w:t>
      </w:r>
      <w:r>
        <w:t xml:space="preserve"> </w:t>
      </w:r>
      <w:r>
        <w:t xml:space="preserve">scope of the</w:t>
      </w:r>
      <w:r>
        <w:t xml:space="preserve"> </w:t>
      </w:r>
      <w:r>
        <w:rPr>
          <w:iCs/>
          <w:i/>
        </w:rPr>
        <w:t xml:space="preserve">verification route</w:t>
      </w:r>
      <w:r>
        <w:t xml:space="preserve">, not the scope of the problem. The</w:t>
      </w:r>
      <w:r>
        <w:t xml:space="preserve"> </w:t>
      </w:r>
      <w:r>
        <w:t xml:space="preserve">Environmental Law’s string rides on all 49 of its articles; its registry note</w:t>
      </w:r>
      <w:r>
        <w:t xml:space="preserve"> </w:t>
      </w:r>
      <w:r>
        <w:t xml:space="preserve">records that 48 matched verbatim across three sources and one did not. The</w:t>
      </w:r>
      <w:r>
        <w:t xml:space="preserve"> </w:t>
      </w:r>
      <w:r>
        <w:t xml:space="preserve">figure below is therefore read from each instrument’s own account of its</w:t>
      </w:r>
      <w:r>
        <w:t xml:space="preserve"> </w:t>
      </w:r>
      <w:r>
        <w:t xml:space="preserve">discrepancy, and the count of articles merely carrying one of these strings —</w:t>
      </w:r>
      <w:r>
        <w:t xml:space="preserve"> </w:t>
      </w:r>
      <w:r>
        <w:t xml:space="preserve">57 — is reported in the results file as the upper bound it is.</w:t>
      </w:r>
    </w:p>
    <w:p>
      <w:pPr>
        <w:pStyle w:val="BodyText"/>
      </w:pPr>
      <w:r>
        <w:t xml:space="preserve">The pattern in three of the four is the same. The legislative portal displays a</w:t>
      </w:r>
      <w:r>
        <w:t xml:space="preserve"> </w:t>
      </w:r>
      <w:r>
        <w:t xml:space="preserve">consolidated article, and the same portal publishes a change log recording the</w:t>
      </w:r>
      <w:r>
        <w:t xml:space="preserve"> </w:t>
      </w:r>
      <w:r>
        <w:t xml:space="preserve">amendments made to it; the two do not agree, because the change log has been</w:t>
      </w:r>
      <w:r>
        <w:t xml:space="preserve"> </w:t>
      </w:r>
      <w:r>
        <w:t xml:space="preserve">updated and the displayed body has not.</w:t>
      </w:r>
    </w:p>
    <w:p>
      <w:pPr>
        <w:pStyle w:val="BodyText"/>
      </w:pPr>
      <w:r>
        <w:t xml:space="preserve">In the</w:t>
      </w:r>
      <w:r>
        <w:t xml:space="preserve"> </w:t>
      </w:r>
      <w:r>
        <w:rPr>
          <w:bCs/>
          <w:b/>
        </w:rPr>
        <w:t xml:space="preserve">Press Law</w:t>
      </w:r>
      <w:r>
        <w:t xml:space="preserve"> </w:t>
      </w:r>
      <w:r>
        <w:t xml:space="preserve">this affects six articles — 5, 9, 36, 37, 38 and 40</w:t>
      </w:r>
      <w:r>
        <w:t xml:space="preserve"> </w:t>
      </w:r>
      <w:r>
        <w:t xml:space="preserve">— for each of which the portal simultaneously carries a changed-article marker</w:t>
      </w:r>
      <w:r>
        <w:t xml:space="preserve"> </w:t>
      </w:r>
      <w:r>
        <w:t xml:space="preserve">and a fully quoted amendment log while its main displayed body still shows the</w:t>
      </w:r>
      <w:r>
        <w:t xml:space="preserve"> </w:t>
      </w:r>
      <w:r>
        <w:t xml:space="preserve">pre-amendment text.</w:t>
      </w:r>
    </w:p>
    <w:p>
      <w:pPr>
        <w:pStyle w:val="BodyText"/>
      </w:pPr>
      <w:r>
        <w:t xml:space="preserve">In the</w:t>
      </w:r>
      <w:r>
        <w:t xml:space="preserve"> </w:t>
      </w:r>
      <w:r>
        <w:rPr>
          <w:bCs/>
          <w:b/>
        </w:rPr>
        <w:t xml:space="preserve">Law of Engineering Practice</w:t>
      </w:r>
      <w:r>
        <w:t xml:space="preserve"> </w:t>
      </w:r>
      <w:r>
        <w:t xml:space="preserve">it affects article 1, and the</w:t>
      </w:r>
      <w:r>
        <w:t xml:space="preserve"> </w:t>
      </w:r>
      <w:r>
        <w:t xml:space="preserve">disagreement is three-way rather than two: the portal’s change log quotes a</w:t>
      </w:r>
      <w:r>
        <w:t xml:space="preserve"> </w:t>
      </w:r>
      <w:r>
        <w:t xml:space="preserve">Council of Ministers resolution substituting a ministry name, while the</w:t>
      </w:r>
      <w:r>
        <w:t xml:space="preserve"> </w:t>
      </w:r>
      <w:r>
        <w:t xml:space="preserve">portal’s own main body has shown a third, different wording at every snapshot</w:t>
      </w:r>
      <w:r>
        <w:t xml:space="preserve"> </w:t>
      </w:r>
      <w:r>
        <w:t xml:space="preserve">checked since 2019 — a wording that predates the resolution.</w:t>
      </w:r>
      <w:r>
        <w:rPr>
          <w:rStyle w:val="FootnoteReference"/>
        </w:rPr>
        <w:footnoteReference w:id="49"/>
      </w:r>
      <w:r>
        <w:t xml:space="preserve"> </w:t>
      </w:r>
      <w:r>
        <w:t xml:space="preserve">The professional body’s own published</w:t>
      </w:r>
      <w:r>
        <w:t xml:space="preserve"> </w:t>
      </w:r>
      <w:r>
        <w:t xml:space="preserve">PDF agrees with neither, and the corpus records the case as unresolved.</w:t>
      </w:r>
    </w:p>
    <w:p>
      <w:pPr>
        <w:pStyle w:val="BodyText"/>
      </w:pPr>
      <w:r>
        <w:t xml:space="preserve">In the</w:t>
      </w:r>
      <w:r>
        <w:t xml:space="preserve"> </w:t>
      </w:r>
      <w:r>
        <w:rPr>
          <w:bCs/>
          <w:b/>
        </w:rPr>
        <w:t xml:space="preserve">Travel Documents Law</w:t>
      </w:r>
      <w:r>
        <w:t xml:space="preserve"> </w:t>
      </w:r>
      <w:r>
        <w:t xml:space="preserve">it affects article 6, where the portal’s</w:t>
      </w:r>
      <w:r>
        <w:t xml:space="preserve"> </w:t>
      </w:r>
      <w:r>
        <w:t xml:space="preserve">amendment log records an amendment and omits the decree citation for it</w:t>
      </w:r>
      <w:r>
        <w:t xml:space="preserve"> </w:t>
      </w:r>
      <w:r>
        <w:t xml:space="preserve">entirely; the citation was recovered from a secondary source.</w:t>
      </w:r>
    </w:p>
    <w:p>
      <w:pPr>
        <w:pStyle w:val="BodyText"/>
      </w:pPr>
      <w:r>
        <w:t xml:space="preserve">The fourth is the</w:t>
      </w:r>
      <w:r>
        <w:t xml:space="preserve"> </w:t>
      </w:r>
      <w:r>
        <w:rPr>
          <w:bCs/>
          <w:b/>
        </w:rPr>
        <w:t xml:space="preserve">Environmental Law</w:t>
      </w:r>
      <w:r>
        <w:t xml:space="preserve"> </w:t>
      </w:r>
      <w:r>
        <w:t xml:space="preserve">article with which this article</w:t>
      </w:r>
      <w:r>
        <w:t xml:space="preserve"> </w:t>
      </w:r>
      <w:r>
        <w:t xml:space="preserve">opened. There the disagreement is confined to a single definition —</w:t>
      </w:r>
      <w:r>
        <w:t xml:space="preserve"> </w:t>
      </w:r>
      <w:r>
        <w:t xml:space="preserve">‘</w:t>
      </w:r>
      <w:r>
        <w:t xml:space="preserve">the</w:t>
      </w:r>
      <w:r>
        <w:t xml:space="preserve"> </w:t>
      </w:r>
      <w:r>
        <w:t xml:space="preserve">competent authority</w:t>
      </w:r>
      <w:r>
        <w:t xml:space="preserve">’</w:t>
      </w:r>
      <w:r>
        <w:t xml:space="preserve"> </w:t>
      </w:r>
      <w:r>
        <w:t xml:space="preserve">in article 1 — where the portal’s per-article amendment</w:t>
      </w:r>
      <w:r>
        <w:t xml:space="preserve"> </w:t>
      </w:r>
      <w:r>
        <w:t xml:space="preserve">log gives a current wording that its own main running text does not carry. It</w:t>
      </w:r>
      <w:r>
        <w:t xml:space="preserve"> </w:t>
      </w:r>
      <w:r>
        <w:t xml:space="preserve">was resolved against two independent sources outside the portal, and the corpus</w:t>
      </w:r>
      <w:r>
        <w:t xml:space="preserve"> </w:t>
      </w:r>
      <w:r>
        <w:t xml:space="preserve">flags it as warranting dedicated legal review rather than treating it as</w:t>
      </w:r>
      <w:r>
        <w:t xml:space="preserve"> </w:t>
      </w:r>
      <w:r>
        <w:t xml:space="preserve">settled.</w:t>
      </w:r>
    </w:p>
    <w:p>
      <w:pPr>
        <w:pStyle w:val="BodyText"/>
      </w:pPr>
      <w:r>
        <w:t xml:space="preserve">Two things follow. The first is practical: a researcher relying on a single</w:t>
      </w:r>
      <w:r>
        <w:t xml:space="preserve"> </w:t>
      </w:r>
      <w:r>
        <w:t xml:space="preserve">retrieval from a single official page has no way to detect any of this, because</w:t>
      </w:r>
      <w:r>
        <w:t xml:space="preserve"> </w:t>
      </w:r>
      <w:r>
        <w:t xml:space="preserve">detecting it requires reading two parts of the same portal against each other</w:t>
      </w:r>
      <w:r>
        <w:t xml:space="preserve"> </w:t>
      </w:r>
      <w:r>
        <w:t xml:space="preserve">and noticing that they differ. The second is that a consolidated text and its</w:t>
      </w:r>
      <w:r>
        <w:t xml:space="preserve"> </w:t>
      </w:r>
      <w:r>
        <w:t xml:space="preserve">own amendment history are two claims about the law, and a system that publishes</w:t>
      </w:r>
      <w:r>
        <w:t xml:space="preserve"> </w:t>
      </w:r>
      <w:r>
        <w:t xml:space="preserve">both without reconciling them has published a contradiction. Sixteen</w:t>
      </w:r>
      <w:r>
        <w:t xml:space="preserve"> </w:t>
      </w:r>
      <w:r>
        <w:t xml:space="preserve">instruments in this corpus carry a documented staleness risk of exactly this</w:t>
      </w:r>
      <w:r>
        <w:t xml:space="preserve"> </w:t>
      </w:r>
      <w:r>
        <w:t xml:space="preserve">kind.</w:t>
      </w:r>
    </w:p>
    <w:bookmarkEnd w:id="50"/>
    <w:bookmarkStart w:id="52" w:name="sec:schema"/>
    <w:p>
      <w:pPr>
        <w:pStyle w:val="Heading1"/>
      </w:pPr>
      <w:r>
        <w:t xml:space="preserve">A minimal provenance schema</w:t>
      </w:r>
    </w:p>
    <w:p>
      <w:pPr>
        <w:pStyle w:val="FirstParagraph"/>
      </w:pPr>
      <w:r>
        <w:t xml:space="preserve">The most transferable output of this exercise is not a percentage. It is the</w:t>
      </w:r>
      <w:r>
        <w:t xml:space="preserve"> </w:t>
      </w:r>
      <w:r>
        <w:t xml:space="preserve">observation that everything measured above was recoverable only because someone</w:t>
      </w:r>
      <w:r>
        <w:t xml:space="preserve"> </w:t>
      </w:r>
      <w:r>
        <w:t xml:space="preserve">wrote down, at the time, what each retrieval attempt returned — and that</w:t>
      </w:r>
      <w:r>
        <w:t xml:space="preserve"> </w:t>
      </w:r>
      <w:r>
        <w:t xml:space="preserve">writing it in prose made the record nearly unusable at the scale where it</w:t>
      </w:r>
      <w:r>
        <w:t xml:space="preserve"> </w:t>
      </w:r>
      <w:r>
        <w:t xml:space="preserve">mattered. Twenty-four per cent of the values in this corpus’s provenance field</w:t>
      </w:r>
      <w:r>
        <w:t xml:space="preserve"> </w:t>
      </w:r>
      <w:r>
        <w:t xml:space="preserve">are not provenance statements at all, and the remainder had to be classified by</w:t>
      </w:r>
      <w:r>
        <w:t xml:space="preserve"> </w:t>
      </w:r>
      <w:r>
        <w:t xml:space="preserve">a rule over free text before anything could be counted.</w:t>
      </w:r>
    </w:p>
    <w:p>
      <w:pPr>
        <w:pStyle w:val="BodyText"/>
      </w:pPr>
      <w:r>
        <w:t xml:space="preserve">What was actually needed is small. The five fields below carry everything the</w:t>
      </w:r>
      <w:r>
        <w:t xml:space="preserve"> </w:t>
      </w:r>
      <w:r>
        <w:t xml:space="preserve">analysis in this article extracted from 158 distinct free-text strings, and</w:t>
      </w:r>
      <w:r>
        <w:t xml:space="preserve"> </w:t>
      </w:r>
      <w:r>
        <w:t xml:space="preserve">they are derived from that record rather than proposed in the abstract: each</w:t>
      </w:r>
      <w:r>
        <w:t xml:space="preserve"> </w:t>
      </w:r>
      <w:r>
        <w:t xml:space="preserve">field exists because the free text was already trying to express it.</w:t>
      </w:r>
    </w:p>
    <w:bookmarkStart w:id="51" w:name="tab:schema"/>
    <w:p>
      <w:pPr>
        <w:pStyle w:val="TableCaption"/>
      </w:pPr>
      <w:r>
        <w:t xml:space="preserve">A minimal provenance schema, derived from what the free-text record in</w:t>
      </w:r>
      <w:r>
        <w:t xml:space="preserve"> </w:t>
      </w:r>
      <w:r>
        <w:t xml:space="preserve">this corpus was already trying to say.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A minimal provenance schema, derived from what the free-text record in this corpus was already trying to say.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Values and 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source_class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official-primary</w:t>
            </w:r>
            <w:r>
              <w:t xml:space="preserve"> </w:t>
            </w:r>
            <w:r>
              <w:t xml:space="preserve">(the publishing authority’s</w:t>
            </w:r>
            <w:r>
              <w:t xml:space="preserve"> </w:t>
            </w:r>
            <w:r>
              <w:t xml:space="preserve">own channel),</w:t>
            </w:r>
            <w:r>
              <w:t xml:space="preserve"> </w:t>
            </w:r>
            <w:r>
              <w:rPr>
                <w:iCs/>
                <w:i/>
              </w:rPr>
              <w:t xml:space="preserve">official-secondary</w:t>
            </w:r>
            <w:r>
              <w:t xml:space="preserve"> </w:t>
            </w:r>
            <w:r>
              <w:t xml:space="preserve">(another public body republishing it),</w:t>
            </w:r>
            <w:r>
              <w:t xml:space="preserve"> </w:t>
            </w:r>
            <w:r>
              <w:rPr>
                <w:iCs/>
                <w:i/>
              </w:rPr>
              <w:t xml:space="preserve">independent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aggregator</w:t>
            </w:r>
            <w:r>
              <w:t xml:space="preserve">. Answers: whose copy is this?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retrieval_route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live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archived-capture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offline-artefact</w:t>
            </w:r>
            <w:r>
              <w:t xml:space="preserve"> </w:t>
            </w:r>
            <w:r>
              <w:t xml:space="preserve">(a PDF or scan held locally),</w:t>
            </w:r>
            <w:r>
              <w:t xml:space="preserve"> </w:t>
            </w:r>
            <w:r>
              <w:rPr>
                <w:iCs/>
                <w:i/>
              </w:rPr>
              <w:t xml:space="preserve">proxy</w:t>
            </w:r>
            <w:r>
              <w:t xml:space="preserve">. Answers:</w:t>
            </w:r>
            <w:r>
              <w:t xml:space="preserve"> </w:t>
            </w:r>
            <w:r>
              <w:t xml:space="preserve">how was it obtained, and would the same request work today?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corroboration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Integer: the number of independent sources found to</w:t>
            </w:r>
            <w:r>
              <w:t xml:space="preserve"> </w:t>
            </w:r>
            <w:r>
              <w:t xml:space="preserve">agree. Zero means single-source. Answers: how strongly is it attested?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transformation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none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text-extraction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optical-recognition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manual-transcription</w:t>
            </w:r>
            <w:r>
              <w:t xml:space="preserve">. Answers: what could</w:t>
            </w:r>
            <w:r>
              <w:t xml:space="preserve"> </w:t>
            </w:r>
            <w:r>
              <w:t xml:space="preserve">have introduced an error that no reader can see?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discrepancy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Null, or a short structured note: which sources</w:t>
            </w:r>
            <w:r>
              <w:t xml:space="preserve"> </w:t>
            </w:r>
            <w:r>
              <w:t xml:space="preserve">disagreed, and whether the disagreement was resolved. Answers: is there a known</w:t>
            </w:r>
            <w:r>
              <w:t xml:space="preserve"> </w:t>
            </w:r>
            <w:r>
              <w:t xml:space="preserve">problem with this record?</w:t>
            </w:r>
          </w:p>
        </w:tc>
      </w:tr>
    </w:tbl>
    <w:bookmarkEnd w:id="51"/>
    <w:p>
      <w:pPr>
        <w:pStyle w:val="BodyText"/>
      </w:pPr>
      <w:r>
        <w:t xml:space="preserve">Three properties of Table 2 matter more than its particular</w:t>
      </w:r>
      <w:r>
        <w:t xml:space="preserve"> </w:t>
      </w:r>
      <w:r>
        <w:t xml:space="preserve">field names.</w:t>
      </w:r>
    </w:p>
    <w:p>
      <w:pPr>
        <w:pStyle w:val="BodyText"/>
      </w:pPr>
      <w:r>
        <w:t xml:space="preserve">It is</w:t>
      </w:r>
      <w:r>
        <w:t xml:space="preserve"> </w:t>
      </w:r>
      <w:r>
        <w:rPr>
          <w:bCs/>
          <w:b/>
        </w:rPr>
        <w:t xml:space="preserve">cheap</w:t>
      </w:r>
      <w:r>
        <w:t xml:space="preserve">. Three of the five fields are closed vocabularies of</w:t>
      </w:r>
      <w:r>
        <w:t xml:space="preserve"> </w:t>
      </w:r>
      <w:r>
        <w:t xml:space="preserve">four values, a fourth is an integer, and only the last is free text — reserved</w:t>
      </w:r>
      <w:r>
        <w:t xml:space="preserve"> </w:t>
      </w:r>
      <w:r>
        <w:t xml:space="preserve">for the case where something actually went wrong. A collection process that</w:t>
      </w:r>
      <w:r>
        <w:t xml:space="preserve"> </w:t>
      </w:r>
      <w:r>
        <w:t xml:space="preserve">knows how it obtained a document knows all of them at the moment of</w:t>
      </w:r>
      <w:r>
        <w:t xml:space="preserve"> </w:t>
      </w:r>
      <w:r>
        <w:t xml:space="preserve">collection. The expensive part of provenance</w:t>
      </w:r>
      <w:r>
        <w:t xml:space="preserve"> </w:t>
      </w:r>
      <w:r>
        <w:t xml:space="preserve">is reconstructing it afterwards, which is what this article had to do.</w:t>
      </w:r>
    </w:p>
    <w:p>
      <w:pPr>
        <w:pStyle w:val="BodyText"/>
      </w:pPr>
      <w:r>
        <w:t xml:space="preserve">It</w:t>
      </w:r>
      <w:r>
        <w:t xml:space="preserve"> </w:t>
      </w:r>
      <w:r>
        <w:rPr>
          <w:bCs/>
          <w:b/>
        </w:rPr>
        <w:t xml:space="preserve">separates availability from consistency</w:t>
      </w:r>
      <w:r>
        <w:t xml:space="preserve">.</w:t>
      </w:r>
      <w:r>
        <w:t xml:space="preserve"> </w:t>
      </w:r>
      <w:r>
        <w:rPr>
          <w:rStyle w:val="VerbatimChar"/>
        </w:rPr>
        <w:t xml:space="preserve">retrieval_route</w:t>
      </w:r>
      <w:r>
        <w:t xml:space="preserve"> </w:t>
      </w:r>
      <w:r>
        <w:t xml:space="preserve">records whether the live source worked;</w:t>
      </w:r>
      <w:r>
        <w:t xml:space="preserve"> </w:t>
      </w:r>
      <w:r>
        <w:rPr>
          <w:rStyle w:val="VerbatimChar"/>
        </w:rPr>
        <w:t xml:space="preserve">discrepancy</w:t>
      </w:r>
      <w:r>
        <w:t xml:space="preserve"> </w:t>
      </w:r>
      <w:r>
        <w:t xml:space="preserve">records whether the</w:t>
      </w:r>
      <w:r>
        <w:t xml:space="preserve"> </w:t>
      </w:r>
      <w:r>
        <w:t xml:space="preserve">sources agreed. These are different failures with different remedies, and a</w:t>
      </w:r>
      <w:r>
        <w:t xml:space="preserve"> </w:t>
      </w:r>
      <w:r>
        <w:t xml:space="preserve">single confidence score — the usual shorthand — collapses them. The corpus</w:t>
      </w:r>
      <w:r>
        <w:t xml:space="preserve"> </w:t>
      </w:r>
      <w:r>
        <w:t xml:space="preserve">studied here has instruments that were perfectly available and internally</w:t>
      </w:r>
      <w:r>
        <w:t xml:space="preserve"> </w:t>
      </w:r>
      <w:r>
        <w:t xml:space="preserve">contradictory, and instruments that were unreachable but, once recovered, in</w:t>
      </w:r>
      <w:r>
        <w:t xml:space="preserve"> </w:t>
      </w:r>
      <w:r>
        <w:t xml:space="preserve">complete agreement across three sources.</w:t>
      </w:r>
    </w:p>
    <w:p>
      <w:pPr>
        <w:pStyle w:val="BodyText"/>
      </w:pPr>
      <w:r>
        <w:t xml:space="preserve">It</w:t>
      </w:r>
      <w:r>
        <w:t xml:space="preserve"> </w:t>
      </w:r>
      <w:r>
        <w:rPr>
          <w:bCs/>
          <w:b/>
        </w:rPr>
        <w:t xml:space="preserve">degrades honestly</w:t>
      </w:r>
      <w:r>
        <w:t xml:space="preserve">. A record with</w:t>
      </w:r>
      <w:r>
        <w:t xml:space="preserve"> </w:t>
      </w:r>
      <w:r>
        <w:rPr>
          <w:rStyle w:val="VerbatimChar"/>
        </w:rPr>
        <w:t xml:space="preserve">corroboration = 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transformation = optical-recognition</w:t>
      </w:r>
      <w:r>
        <w:t xml:space="preserve"> </w:t>
      </w:r>
      <w:r>
        <w:t xml:space="preserve">is not hidden by an aggregate; a</w:t>
      </w:r>
      <w:r>
        <w:t xml:space="preserve"> </w:t>
      </w:r>
      <w:r>
        <w:t xml:space="preserve">user filtering for reliability can exclude it, and a user who does not at least</w:t>
      </w:r>
      <w:r>
        <w:t xml:space="preserve"> </w:t>
      </w:r>
      <w:r>
        <w:t xml:space="preserve">cannot claim they were not told. The verification tiers this corpus assigned by</w:t>
      </w:r>
      <w:r>
        <w:t xml:space="preserve"> </w:t>
      </w:r>
      <w:r>
        <w:t xml:space="preserve">hand are a coarser version of the same idea, and even four levels turned out to</w:t>
      </w:r>
      <w:r>
        <w:t xml:space="preserve"> </w:t>
      </w:r>
      <w:r>
        <w:t xml:space="preserve">be more than almost any comparable dataset publishes.</w:t>
      </w:r>
    </w:p>
    <w:bookmarkEnd w:id="52"/>
    <w:bookmarkStart w:id="61" w:name="what-follows"/>
    <w:p>
      <w:pPr>
        <w:pStyle w:val="Heading1"/>
      </w:pPr>
      <w:r>
        <w:t xml:space="preserve">What follows</w:t>
      </w:r>
    </w:p>
    <w:bookmarkStart w:id="53" w:name="X165abe60aa66f9047eebda620881af46c65ea7e"/>
    <w:p>
      <w:pPr>
        <w:pStyle w:val="Heading4"/>
      </w:pPr>
      <w:r>
        <w:t xml:space="preserve">Cite the retrieval, not just the provision.</w:t>
      </w:r>
    </w:p>
    <w:p>
      <w:pPr>
        <w:pStyle w:val="FirstParagraph"/>
      </w:pPr>
      <w:r>
        <w:t xml:space="preserve">If the official source</w:t>
      </w:r>
      <w:r>
        <w:t xml:space="preserve"> </w:t>
      </w:r>
      <w:r>
        <w:t xml:space="preserve">resolves four times out of five at best, then a citation that names only the</w:t>
      </w:r>
      <w:r>
        <w:t xml:space="preserve"> </w:t>
      </w:r>
      <w:r>
        <w:t xml:space="preserve">instrument and the article is an incomplete instruction. What is missing is</w:t>
      </w:r>
      <w:r>
        <w:t xml:space="preserve"> </w:t>
      </w:r>
      <w:r>
        <w:t xml:space="preserve">cheap to add: the date of retrieval and, where the live source failed, the</w:t>
      </w:r>
      <w:r>
        <w:t xml:space="preserve"> </w:t>
      </w:r>
      <w:r>
        <w:t xml:space="preserve">archived capture actually used. Legal citation systems already accommodate</w:t>
      </w:r>
      <w:r>
        <w:t xml:space="preserve"> </w:t>
      </w:r>
      <w:r>
        <w:t xml:space="preserve">‘</w:t>
      </w:r>
      <w:r>
        <w:t xml:space="preserve">accessed</w:t>
      </w:r>
      <w:r>
        <w:t xml:space="preserve">’</w:t>
      </w:r>
      <w:r>
        <w:t xml:space="preserve"> </w:t>
      </w:r>
      <w:r>
        <w:t xml:space="preserve">dates for online material; the argument here is that statutory</w:t>
      </w:r>
      <w:r>
        <w:t xml:space="preserve"> </w:t>
      </w:r>
      <w:r>
        <w:t xml:space="preserve">citation needs them too, for the same reason and with better evidence.</w:t>
      </w:r>
    </w:p>
    <w:bookmarkEnd w:id="53"/>
    <w:bookmarkStart w:id="54" w:name="X43497b459000b81ec67fa566a2b83fabc7c51d1"/>
    <w:p>
      <w:pPr>
        <w:pStyle w:val="Heading4"/>
      </w:pPr>
      <w:r>
        <w:t xml:space="preserve">Ship the strength of the evidence with the text.</w:t>
      </w:r>
    </w:p>
    <w:p>
      <w:pPr>
        <w:pStyle w:val="FirstParagraph"/>
      </w:pPr>
      <w:r>
        <w:t xml:space="preserve">The tier scheme</w:t>
      </w:r>
      <w:r>
        <w:t xml:space="preserve"> </w:t>
      </w:r>
      <w:r>
        <w:t xml:space="preserve">used here is crude — four levels, assigned by hand — and it is more than</w:t>
      </w:r>
      <w:r>
        <w:t xml:space="preserve"> </w:t>
      </w:r>
      <w:r>
        <w:t xml:space="preserve">almost any legal corpus publishes. A reader of a corpus that ships text alone</w:t>
      </w:r>
      <w:r>
        <w:t xml:space="preserve"> </w:t>
      </w:r>
      <w:r>
        <w:t xml:space="preserve">must assume uniform reliability, and this corpus demonstrates that the</w:t>
      </w:r>
      <w:r>
        <w:t xml:space="preserve"> </w:t>
      </w:r>
      <w:r>
        <w:t xml:space="preserve">assumption is false within a single collection: the same file format, the same</w:t>
      </w:r>
      <w:r>
        <w:t xml:space="preserve"> </w:t>
      </w:r>
      <w:r>
        <w:t xml:space="preserve">schema, the same apparent authority, and evidence ranging from two agreeing</w:t>
      </w:r>
      <w:r>
        <w:t xml:space="preserve"> </w:t>
      </w:r>
      <w:r>
        <w:t xml:space="preserve">official sources to a single scan read by machine. The cost of publishing a</w:t>
      </w:r>
      <w:r>
        <w:t xml:space="preserve"> </w:t>
      </w:r>
      <w:r>
        <w:t xml:space="preserve">tier is one field.</w:t>
      </w:r>
    </w:p>
    <w:bookmarkEnd w:id="54"/>
    <w:bookmarkStart w:id="55" w:name="Xac528189634453d9528420936a824e32d1f44cb"/>
    <w:p>
      <w:pPr>
        <w:pStyle w:val="Heading4"/>
      </w:pPr>
      <w:r>
        <w:t xml:space="preserve">Treat the archive as infrastructure, and fund it accordingly.</w:t>
      </w:r>
    </w:p>
    <w:p>
      <w:pPr>
        <w:pStyle w:val="FirstParagraph"/>
      </w:pPr>
      <w:r>
        <w:t xml:space="preserve">One</w:t>
      </w:r>
      <w:r>
        <w:t xml:space="preserve"> </w:t>
      </w:r>
      <w:r>
        <w:t xml:space="preserve">article in five in this corpus reached it through a web archive. That</w:t>
      </w:r>
      <w:r>
        <w:t xml:space="preserve"> </w:t>
      </w:r>
      <w:r>
        <w:t xml:space="preserve">dependency is invisible in the finished product and total in its effect: had</w:t>
      </w:r>
      <w:r>
        <w:t xml:space="preserve"> </w:t>
      </w:r>
      <w:r>
        <w:t xml:space="preserve">the captures not existed, those texts could not have been verified at the time</w:t>
      </w:r>
      <w:r>
        <w:t xml:space="preserve"> </w:t>
      </w:r>
      <w:r>
        <w:t xml:space="preserve">they were collected, and in some cases could not have been obtained at all.</w:t>
      </w:r>
      <w:r>
        <w:t xml:space="preserve"> </w:t>
      </w:r>
      <w:r>
        <w:t xml:space="preserve">Web archives occupy this position for legal research without any mandate to do</w:t>
      </w:r>
      <w:r>
        <w:t xml:space="preserve"> </w:t>
      </w:r>
      <w:r>
        <w:t xml:space="preserve">so and without any legal recognition of the role. Whether they should is a</w:t>
      </w:r>
      <w:r>
        <w:t xml:space="preserve"> </w:t>
      </w:r>
      <w:r>
        <w:t xml:space="preserve">question for the institutions that publish law, not for the archives.</w:t>
      </w:r>
    </w:p>
    <w:bookmarkEnd w:id="55"/>
    <w:bookmarkStart w:id="56" w:name="X1d4cda8d58d636d8f5761d68a72e9a3f92a5260"/>
    <w:p>
      <w:pPr>
        <w:pStyle w:val="Heading4"/>
      </w:pPr>
      <w:r>
        <w:t xml:space="preserve">Publish availability as a service property, not a hope.</w:t>
      </w:r>
    </w:p>
    <w:p>
      <w:pPr>
        <w:pStyle w:val="FirstParagraph"/>
      </w:pPr>
      <w:r>
        <w:t xml:space="preserve">A state</w:t>
      </w:r>
      <w:r>
        <w:t xml:space="preserve"> </w:t>
      </w:r>
      <w:r>
        <w:t xml:space="preserve">that publishes its law online has taken on an operational commitment whether or</w:t>
      </w:r>
      <w:r>
        <w:t xml:space="preserve"> </w:t>
      </w:r>
      <w:r>
        <w:t xml:space="preserve">not it has said so. The measurements here are not a service-level study and</w:t>
      </w:r>
      <w:r>
        <w:t xml:space="preserve"> </w:t>
      </w:r>
      <w:r>
        <w:t xml:space="preserve">cannot be one — they record what one collector saw from one network over one</w:t>
      </w:r>
      <w:r>
        <w:t xml:space="preserve"> </w:t>
      </w:r>
      <w:r>
        <w:t xml:space="preserve">period — but they are enough to show that the commitment is not currently</w:t>
      </w:r>
      <w:r>
        <w:t xml:space="preserve"> </w:t>
      </w:r>
      <w:r>
        <w:t xml:space="preserve">being met at the level users assume. The remedy is ordinary infrastructure</w:t>
      </w:r>
      <w:r>
        <w:t xml:space="preserve"> </w:t>
      </w:r>
      <w:r>
        <w:t xml:space="preserve">practice: publish uptime, publish a stable retrieval interface, and treat a</w:t>
      </w:r>
      <w:r>
        <w:t xml:space="preserve"> </w:t>
      </w:r>
      <w:r>
        <w:t xml:space="preserve">consolidated text and its own amendment log as a single artefact that must</w:t>
      </w:r>
      <w:r>
        <w:t xml:space="preserve"> </w:t>
      </w:r>
      <w:r>
        <w:t xml:space="preserve">agree before either is served.</w:t>
      </w:r>
    </w:p>
    <w:bookmarkEnd w:id="56"/>
    <w:bookmarkStart w:id="57" w:name="X9d8d8ec07768e45f4ef2de1a754f5501c19adcd"/>
    <w:p>
      <w:pPr>
        <w:pStyle w:val="Heading4"/>
      </w:pPr>
      <w:r>
        <w:t xml:space="preserve">Deposit, rather than depend on someone else archiving.</w:t>
      </w:r>
    </w:p>
    <w:p>
      <w:pPr>
        <w:pStyle w:val="FirstParagraph"/>
      </w:pPr>
      <w:r>
        <w:t xml:space="preserve">One article</w:t>
      </w:r>
      <w:r>
        <w:t xml:space="preserve"> </w:t>
      </w:r>
      <w:r>
        <w:t xml:space="preserve">in five in this corpus reached it through a web archive. That is a dependency</w:t>
      </w:r>
      <w:r>
        <w:t xml:space="preserve"> </w:t>
      </w:r>
      <w:r>
        <w:t xml:space="preserve">on a third party with no obligation to the state whose law it is preserving,</w:t>
      </w:r>
      <w:r>
        <w:t xml:space="preserve"> </w:t>
      </w:r>
      <w:r>
        <w:t xml:space="preserve">and it is invisible to everyone downstream. States that already operate legal</w:t>
      </w:r>
      <w:r>
        <w:t xml:space="preserve"> </w:t>
      </w:r>
      <w:r>
        <w:t xml:space="preserve">deposit for print have the institutional machinery for the digital equivalent;</w:t>
      </w:r>
      <w:r>
        <w:t xml:space="preserve"> </w:t>
      </w:r>
      <w:r>
        <w:t xml:space="preserve">what is missing is the instruction to use it for the state’s own published</w:t>
      </w:r>
      <w:r>
        <w:t xml:space="preserve"> </w:t>
      </w:r>
      <w:r>
        <w:t xml:space="preserve">record, and a citable identifier for each version so that a reader can retrieve</w:t>
      </w:r>
      <w:r>
        <w:t xml:space="preserve"> </w:t>
      </w:r>
      <w:r>
        <w:t xml:space="preserve">what an author actually read.</w:t>
      </w:r>
    </w:p>
    <w:bookmarkEnd w:id="57"/>
    <w:bookmarkStart w:id="58" w:name="use-a-vocabulary-not-a-sentence."/>
    <w:p>
      <w:pPr>
        <w:pStyle w:val="Heading4"/>
      </w:pPr>
      <w:r>
        <w:t xml:space="preserve">Use a vocabulary, not a sentence.</w:t>
      </w:r>
    </w:p>
    <w:p>
      <w:pPr>
        <w:pStyle w:val="FirstParagraph"/>
      </w:pPr>
      <w:r>
        <w:t xml:space="preserve">The finding that indicts this</w:t>
      </w:r>
      <w:r>
        <w:t xml:space="preserve"> </w:t>
      </w:r>
      <w:r>
        <w:t xml:space="preserve">corpus is the one most useful to the next builder. Free-text provenance decays:</w:t>
      </w:r>
      <w:r>
        <w:t xml:space="preserve"> </w:t>
      </w:r>
      <w:r>
        <w:t xml:space="preserve">it accumulates conventions, absorbs values that belong in other fields, and</w:t>
      </w:r>
      <w:r>
        <w:t xml:space="preserve"> </w:t>
      </w:r>
      <w:r>
        <w:t xml:space="preserve">becomes unanalysable at precisely the scale where analysis matters. Nearly a</w:t>
      </w:r>
      <w:r>
        <w:t xml:space="preserve"> </w:t>
      </w:r>
      <w:r>
        <w:t xml:space="preserve">quarter of the status values here are not provenance statements at all. A short</w:t>
      </w:r>
      <w:r>
        <w:t xml:space="preserve"> </w:t>
      </w:r>
      <w:r>
        <w:t xml:space="preserve">controlled vocabulary — source class, retrieval route, cross-verification</w:t>
      </w:r>
      <w:r>
        <w:t xml:space="preserve"> </w:t>
      </w:r>
      <w:r>
        <w:t xml:space="preserve">count, defect flag — would have carried the same information, and this</w:t>
      </w:r>
      <w:r>
        <w:t xml:space="preserve"> </w:t>
      </w:r>
      <w:r>
        <w:t xml:space="preserve">article’s analysis would have taken a tenth of the effort and made none of the</w:t>
      </w:r>
      <w:r>
        <w:t xml:space="preserve"> </w:t>
      </w:r>
      <w:r>
        <w:t xml:space="preserve">judgement calls that section 3 had to disclose.</w:t>
      </w:r>
    </w:p>
    <w:bookmarkEnd w:id="58"/>
    <w:bookmarkStart w:id="59" w:name="why-this-is-not-already-standard"/>
    <w:p>
      <w:pPr>
        <w:pStyle w:val="Heading2"/>
      </w:pPr>
      <w:r>
        <w:t xml:space="preserve">Why this is not already standard</w:t>
      </w:r>
    </w:p>
    <w:p>
      <w:pPr>
        <w:pStyle w:val="FirstParagraph"/>
      </w:pPr>
      <w:r>
        <w:t xml:space="preserve">If the schema is as cheap as section 7 claims, its absence needs</w:t>
      </w:r>
      <w:r>
        <w:t xml:space="preserve"> </w:t>
      </w:r>
      <w:r>
        <w:t xml:space="preserve">explaining. Three reasons seem to us to account for most of it, and none is</w:t>
      </w:r>
      <w:r>
        <w:t xml:space="preserve"> </w:t>
      </w:r>
      <w:r>
        <w:t xml:space="preserve">about cost.</w:t>
      </w:r>
    </w:p>
    <w:p>
      <w:pPr>
        <w:pStyle w:val="BodyText"/>
      </w:pPr>
      <w:r>
        <w:rPr>
          <w:bCs/>
          <w:b/>
        </w:rPr>
        <w:t xml:space="preserve">Provenance is invisible when everything works.</w:t>
      </w:r>
      <w:r>
        <w:t xml:space="preserve"> </w:t>
      </w:r>
      <w:r>
        <w:t xml:space="preserve">A collection assembled</w:t>
      </w:r>
      <w:r>
        <w:t xml:space="preserve"> </w:t>
      </w:r>
      <w:r>
        <w:t xml:space="preserve">in a week from a responsive source has nothing interesting to record, and the</w:t>
      </w:r>
      <w:r>
        <w:t xml:space="preserve"> </w:t>
      </w:r>
      <w:r>
        <w:t xml:space="preserve">value of having recorded it appears only later — when a source changes, a</w:t>
      </w:r>
      <w:r>
        <w:t xml:space="preserve"> </w:t>
      </w:r>
      <w:r>
        <w:t xml:space="preserve">discrepancy surfaces, or someone asks how a particular record was obtained. By</w:t>
      </w:r>
      <w:r>
        <w:t xml:space="preserve"> </w:t>
      </w:r>
      <w:r>
        <w:t xml:space="preserve">then the information is gone. This is the ordinary structure of an</w:t>
      </w:r>
      <w:r>
        <w:t xml:space="preserve"> </w:t>
      </w:r>
      <w:r>
        <w:t xml:space="preserve">under-provided good, and it is why the field has to be populated by the</w:t>
      </w:r>
      <w:r>
        <w:t xml:space="preserve"> </w:t>
      </w:r>
      <w:r>
        <w:t xml:space="preserve">collection process rather than by whoever eventually needs it.</w:t>
      </w:r>
    </w:p>
    <w:p>
      <w:pPr>
        <w:pStyle w:val="BodyText"/>
      </w:pPr>
      <w:r>
        <w:rPr>
          <w:bCs/>
          <w:b/>
        </w:rPr>
        <w:t xml:space="preserve">Publishing weakness looks like admitting weakness.</w:t>
      </w:r>
      <w:r>
        <w:t xml:space="preserve"> </w:t>
      </w:r>
      <w:r>
        <w:t xml:space="preserve">A dataset that</w:t>
      </w:r>
      <w:r>
        <w:t xml:space="preserve"> </w:t>
      </w:r>
      <w:r>
        <w:t xml:space="preserve">marks a tenth of its records as single-source invites the question why, and</w:t>
      </w:r>
      <w:r>
        <w:t xml:space="preserve"> </w:t>
      </w:r>
      <w:r>
        <w:t xml:space="preserve">a dataset that marks none invites nothing. The incentive runs the wrong way,</w:t>
      </w:r>
      <w:r>
        <w:t xml:space="preserve"> </w:t>
      </w:r>
      <w:r>
        <w:t xml:space="preserve">and it runs that way for public bodies most of all. The counter-argument is</w:t>
      </w:r>
      <w:r>
        <w:t xml:space="preserve"> </w:t>
      </w:r>
      <w:r>
        <w:t xml:space="preserve">that the weakness exists whether or not it is marked, and that the unmarked</w:t>
      </w:r>
      <w:r>
        <w:t xml:space="preserve"> </w:t>
      </w:r>
      <w:r>
        <w:t xml:space="preserve">version transfers the risk to users who cannot see it — but that argument has</w:t>
      </w:r>
      <w:r>
        <w:t xml:space="preserve"> </w:t>
      </w:r>
      <w:r>
        <w:t xml:space="preserve">to be made, because the default is silence.</w:t>
      </w:r>
    </w:p>
    <w:p>
      <w:pPr>
        <w:pStyle w:val="BodyText"/>
      </w:pPr>
      <w:r>
        <w:rPr>
          <w:bCs/>
          <w:b/>
        </w:rPr>
        <w:t xml:space="preserve">There is no convention to comply with.</w:t>
      </w:r>
      <w:r>
        <w:t xml:space="preserve"> </w:t>
      </w:r>
      <w:r>
        <w:t xml:space="preserve">Dataset documentation practice</w:t>
      </w:r>
      <w:r>
        <w:t xml:space="preserve"> </w:t>
      </w:r>
      <w:r>
        <w:t xml:space="preserve">addresses composition, collection and intended use; provenance at the level of</w:t>
      </w:r>
      <w:r>
        <w:t xml:space="preserve"> </w:t>
      </w:r>
      <w:r>
        <w:t xml:space="preserve">the individual record is not part of what a dataset is normally expected to</w:t>
      </w:r>
      <w:r>
        <w:t xml:space="preserve"> </w:t>
      </w:r>
      <w:r>
        <w:t xml:space="preserve">carry. A convention would change this faster than any argument about incentives,</w:t>
      </w:r>
      <w:r>
        <w:t xml:space="preserve"> </w:t>
      </w:r>
      <w:r>
        <w:t xml:space="preserve">which is the practical case for proposing a small and boring one rather than a</w:t>
      </w:r>
      <w:r>
        <w:t xml:space="preserve"> </w:t>
      </w:r>
      <w:r>
        <w:t xml:space="preserve">complete ontology that already exists and is not used.</w:t>
      </w:r>
    </w:p>
    <w:bookmarkEnd w:id="59"/>
    <w:bookmarkStart w:id="60" w:name="what-a-user-can-do-in-the-meantime"/>
    <w:p>
      <w:pPr>
        <w:pStyle w:val="Heading2"/>
      </w:pPr>
      <w:r>
        <w:t xml:space="preserve">What a user can do in the meantime</w:t>
      </w:r>
    </w:p>
    <w:p>
      <w:pPr>
        <w:pStyle w:val="FirstParagraph"/>
      </w:pPr>
      <w:r>
        <w:t xml:space="preserve">Most consumers of official data cannot change how it is published, and the</w:t>
      </w:r>
      <w:r>
        <w:t xml:space="preserve"> </w:t>
      </w:r>
      <w:r>
        <w:t xml:space="preserve">recommendations above are addressed to people who can. Three things are</w:t>
      </w:r>
      <w:r>
        <w:t xml:space="preserve"> </w:t>
      </w:r>
      <w:r>
        <w:t xml:space="preserve">available to everyone else, and this corpus is evidence for each.</w:t>
      </w:r>
    </w:p>
    <w:p>
      <w:pPr>
        <w:pStyle w:val="BodyText"/>
      </w:pPr>
      <w:r>
        <w:rPr>
          <w:bCs/>
          <w:b/>
        </w:rPr>
        <w:t xml:space="preserve">Retrieve more than once, and keep what you got.</w:t>
      </w:r>
      <w:r>
        <w:t xml:space="preserve"> </w:t>
      </w:r>
      <w:r>
        <w:t xml:space="preserve">Every discrepancy</w:t>
      </w:r>
      <w:r>
        <w:t xml:space="preserve"> </w:t>
      </w:r>
      <w:r>
        <w:t xml:space="preserve">reported in section 6 was found by comparing retrievals</w:t>
      </w:r>
      <w:r>
        <w:t xml:space="preserve"> </w:t>
      </w:r>
      <w:r>
        <w:t xml:space="preserve">— across time, across two parts of the same portal, or against an independent</w:t>
      </w:r>
      <w:r>
        <w:t xml:space="preserve"> </w:t>
      </w:r>
      <w:r>
        <w:t xml:space="preserve">reproduction. A single retrieval cannot detect any of them. Keeping the</w:t>
      </w:r>
      <w:r>
        <w:t xml:space="preserve"> </w:t>
      </w:r>
      <w:r>
        <w:t xml:space="preserve">response, rather than only the parsed result, costs almost nothing and is the</w:t>
      </w:r>
      <w:r>
        <w:t xml:space="preserve"> </w:t>
      </w:r>
      <w:r>
        <w:t xml:space="preserve">difference between noticing a source change and being silently overtaken by it.</w:t>
      </w:r>
    </w:p>
    <w:p>
      <w:pPr>
        <w:pStyle w:val="BodyText"/>
      </w:pPr>
      <w:r>
        <w:rPr>
          <w:bCs/>
          <w:b/>
        </w:rPr>
        <w:t xml:space="preserve">Treat a second source as a test, not a backup.</w:t>
      </w:r>
      <w:r>
        <w:t xml:space="preserve"> </w:t>
      </w:r>
      <w:r>
        <w:t xml:space="preserve">86.1 per cent of</w:t>
      </w:r>
      <w:r>
        <w:t xml:space="preserve"> </w:t>
      </w:r>
      <w:r>
        <w:t xml:space="preserve">articles here were compared against more than one source, and that comparison</w:t>
      </w:r>
      <w:r>
        <w:t xml:space="preserve"> </w:t>
      </w:r>
      <w:r>
        <w:t xml:space="preserve">is what located the defects recorded against 4.9 per cent of them — a</w:t>
      </w:r>
      <w:r>
        <w:t xml:space="preserve"> </w:t>
      </w:r>
      <w:r>
        <w:t xml:space="preserve">disagreement between sources in some cases, a corruption visible only once two</w:t>
      </w:r>
      <w:r>
        <w:t xml:space="preserve"> </w:t>
      </w:r>
      <w:r>
        <w:t xml:space="preserve">renderings of the same document were set side by side in others. A pipeline</w:t>
      </w:r>
      <w:r>
        <w:t xml:space="preserve"> </w:t>
      </w:r>
      <w:r>
        <w:t xml:space="preserve">that consults a second source only when the first fails gets the resilience and</w:t>
      </w:r>
      <w:r>
        <w:t xml:space="preserve"> </w:t>
      </w:r>
      <w:r>
        <w:t xml:space="preserve">forgoes the detection.</w:t>
      </w:r>
    </w:p>
    <w:p>
      <w:pPr>
        <w:pStyle w:val="BodyText"/>
      </w:pPr>
      <w:r>
        <w:rPr>
          <w:bCs/>
          <w:b/>
        </w:rPr>
        <w:t xml:space="preserve">Record what you could not do.</w:t>
      </w:r>
      <w:r>
        <w:t xml:space="preserve"> </w:t>
      </w:r>
      <w:r>
        <w:t xml:space="preserve">The most useful entries in this corpus’s</w:t>
      </w:r>
      <w:r>
        <w:t xml:space="preserve"> </w:t>
      </w:r>
      <w:r>
        <w:t xml:space="preserve">provenance field are the ones admitting a shortfall: single-source, portal</w:t>
      </w:r>
      <w:r>
        <w:t xml:space="preserve"> </w:t>
      </w:r>
      <w:r>
        <w:t xml:space="preserve">unreachable, amendment text unobtained, three-way divergence unresolved.</w:t>
      </w:r>
      <w:r>
        <w:t xml:space="preserve"> </w:t>
      </w:r>
      <w:r>
        <w:t xml:space="preserve">Recording a gap costs a field and preserves the option of returning to it;</w:t>
      </w:r>
      <w:r>
        <w:t xml:space="preserve"> </w:t>
      </w:r>
      <w:r>
        <w:t xml:space="preserve">leaving it blank makes a weak record indistinguishable from a strong one,</w:t>
      </w:r>
      <w:r>
        <w:t xml:space="preserve"> </w:t>
      </w:r>
      <w:r>
        <w:t xml:space="preserve">including to the person who created it.</w:t>
      </w:r>
    </w:p>
    <w:bookmarkEnd w:id="60"/>
    <w:bookmarkEnd w:id="61"/>
    <w:bookmarkStart w:id="62" w:name="applying-this-elsewhere"/>
    <w:p>
      <w:pPr>
        <w:pStyle w:val="Heading1"/>
      </w:pPr>
      <w:r>
        <w:t xml:space="preserve">Applying this elsewhere</w:t>
      </w:r>
    </w:p>
    <w:p>
      <w:pPr>
        <w:pStyle w:val="FirstParagraph"/>
      </w:pPr>
      <w:r>
        <w:t xml:space="preserve">Nothing in the method is specific to law, to Saudi Arabia, or to this corpus.</w:t>
      </w:r>
      <w:r>
        <w:t xml:space="preserve"> </w:t>
      </w:r>
      <w:r>
        <w:t xml:space="preserve">It requires one thing that is rare and not difficult: that whoever collects a</w:t>
      </w:r>
      <w:r>
        <w:t xml:space="preserve"> </w:t>
      </w:r>
      <w:r>
        <w:t xml:space="preserve">public dataset records what each retrieval attempt returned, at the time, in a</w:t>
      </w:r>
      <w:r>
        <w:t xml:space="preserve"> </w:t>
      </w:r>
      <w:r>
        <w:t xml:space="preserve">form a machine can read.</w:t>
      </w:r>
    </w:p>
    <w:p>
      <w:pPr>
        <w:pStyle w:val="BodyText"/>
      </w:pPr>
      <w:r>
        <w:t xml:space="preserve">A group building any collection from an official source can produce the</w:t>
      </w:r>
      <w:r>
        <w:t xml:space="preserve"> </w:t>
      </w:r>
      <w:r>
        <w:t xml:space="preserve">measurements in this article by populating Table 2 during</w:t>
      </w:r>
      <w:r>
        <w:t xml:space="preserve"> </w:t>
      </w:r>
      <w:r>
        <w:t xml:space="preserve">collection and running three counts afterwards — the share of records whose</w:t>
      </w:r>
      <w:r>
        <w:t xml:space="preserve"> </w:t>
      </w:r>
      <w:r>
        <w:t xml:space="preserve">live source failed, the share recovered through an archive and the overlap</w:t>
      </w:r>
      <w:r>
        <w:t xml:space="preserve"> </w:t>
      </w:r>
      <w:r>
        <w:t xml:space="preserve">between them, and the share resting on a single source. The analysis here is</w:t>
      </w:r>
      <w:r>
        <w:t xml:space="preserve"> </w:t>
      </w:r>
      <w:r>
        <w:t xml:space="preserve">about 460 lines of code, and the largest single part of it is the</w:t>
      </w:r>
      <w:r>
        <w:t xml:space="preserve"> </w:t>
      </w:r>
      <w:r>
        <w:t xml:space="preserve">classification of free text that a schema would have made unnecessary.</w:t>
      </w:r>
    </w:p>
    <w:p>
      <w:pPr>
        <w:pStyle w:val="BodyText"/>
      </w:pPr>
      <w:r>
        <w:t xml:space="preserve">Two adjustments would be needed outside the legal domain. Where a dataset has</w:t>
      </w:r>
      <w:r>
        <w:t xml:space="preserve"> </w:t>
      </w:r>
      <w:r>
        <w:t xml:space="preserve">no single authoritative version — a statistical series revised on a schedule,</w:t>
      </w:r>
      <w:r>
        <w:t xml:space="preserve"> </w:t>
      </w:r>
      <w:r>
        <w:t xml:space="preserve">say —</w:t>
      </w:r>
      <w:r>
        <w:t xml:space="preserve"> </w:t>
      </w:r>
      <w:r>
        <w:rPr>
          <w:rStyle w:val="VerbatimChar"/>
        </w:rPr>
        <w:t xml:space="preserve">discrepancy</w:t>
      </w:r>
      <w:r>
        <w:t xml:space="preserve"> </w:t>
      </w:r>
      <w:r>
        <w:t xml:space="preserve">carries more weight than</w:t>
      </w:r>
      <w:r>
        <w:t xml:space="preserve"> </w:t>
      </w:r>
      <w:r>
        <w:rPr>
          <w:rStyle w:val="VerbatimChar"/>
        </w:rPr>
        <w:t xml:space="preserve">corroboration</w:t>
      </w:r>
      <w:r>
        <w:t xml:space="preserve">,</w:t>
      </w:r>
      <w:r>
        <w:t xml:space="preserve"> </w:t>
      </w:r>
      <w:r>
        <w:t xml:space="preserve">because disagreement between two sources may be a legitimate revision rather</w:t>
      </w:r>
      <w:r>
        <w:t xml:space="preserve"> </w:t>
      </w:r>
      <w:r>
        <w:t xml:space="preserve">than an error. And where records are produced continuously rather than</w:t>
      </w:r>
      <w:r>
        <w:t xml:space="preserve"> </w:t>
      </w:r>
      <w:r>
        <w:t xml:space="preserve">enacted, availability should be sampled over time rather than observed once at</w:t>
      </w:r>
      <w:r>
        <w:t xml:space="preserve"> </w:t>
      </w:r>
      <w:r>
        <w:t xml:space="preserve">collection, which turns a build-time snapshot into the monitoring study this</w:t>
      </w:r>
      <w:r>
        <w:t xml:space="preserve"> </w:t>
      </w:r>
      <w:r>
        <w:t xml:space="preserve">one explicitly is not.</w:t>
      </w:r>
    </w:p>
    <w:p>
      <w:pPr>
        <w:pStyle w:val="BodyText"/>
      </w:pPr>
      <w:r>
        <w:t xml:space="preserve">The comparison that would be most useful is the obvious one: the same</w:t>
      </w:r>
      <w:r>
        <w:t xml:space="preserve"> </w:t>
      </w:r>
      <w:r>
        <w:t xml:space="preserve">measurements, for the same kind of source, in several jurisdictions. This</w:t>
      </w:r>
      <w:r>
        <w:t xml:space="preserve"> </w:t>
      </w:r>
      <w:r>
        <w:t xml:space="preserve">article can say that a fifth of one state’s published legal record was</w:t>
      </w:r>
      <w:r>
        <w:t xml:space="preserve"> </w:t>
      </w:r>
      <w:r>
        <w:t xml:space="preserve">unreachable when someone tried to collect it. Whether that is typical,</w:t>
      </w:r>
      <w:r>
        <w:t xml:space="preserve"> </w:t>
      </w:r>
      <w:r>
        <w:t xml:space="preserve">unusually good or unusually bad is not knowable from a single case, and it is</w:t>
      </w:r>
      <w:r>
        <w:t xml:space="preserve"> </w:t>
      </w:r>
      <w:r>
        <w:t xml:space="preserve">the first question any reader should ask.</w:t>
      </w:r>
    </w:p>
    <w:bookmarkEnd w:id="62"/>
    <w:bookmarkStart w:id="68" w:name="limitations"/>
    <w:p>
      <w:pPr>
        <w:pStyle w:val="Heading1"/>
      </w:pPr>
      <w:r>
        <w:t xml:space="preserve">Limitations</w:t>
      </w:r>
    </w:p>
    <w:bookmarkStart w:id="63" w:name="one-corpus-one-jurisdiction-one-build."/>
    <w:p>
      <w:pPr>
        <w:pStyle w:val="Heading4"/>
      </w:pPr>
      <w:r>
        <w:t xml:space="preserve">One corpus, one jurisdiction, one build.</w:t>
      </w:r>
    </w:p>
    <w:p>
      <w:pPr>
        <w:pStyle w:val="FirstParagraph"/>
      </w:pPr>
      <w:r>
        <w:t xml:space="preserve">Everything here describes</w:t>
      </w:r>
      <w:r>
        <w:t xml:space="preserve"> </w:t>
      </w:r>
      <w:r>
        <w:t xml:space="preserve">the sources of Saudi legislation as encountered during a particular</w:t>
      </w:r>
      <w:r>
        <w:t xml:space="preserve"> </w:t>
      </w:r>
      <w:r>
        <w:t xml:space="preserve">construction period. Availability is a moving target; a portal unreachable then</w:t>
      </w:r>
      <w:r>
        <w:t xml:space="preserve"> </w:t>
      </w:r>
      <w:r>
        <w:t xml:space="preserve">may be reliable now, and the reverse. What generalises is the method and the</w:t>
      </w:r>
      <w:r>
        <w:t xml:space="preserve"> </w:t>
      </w:r>
      <w:r>
        <w:t xml:space="preserve">observation that the question is worth asking, not the specific percentages.</w:t>
      </w:r>
    </w:p>
    <w:bookmarkEnd w:id="63"/>
    <w:bookmarkStart w:id="64" w:name="the-record-is-the-builders-own."/>
    <w:p>
      <w:pPr>
        <w:pStyle w:val="Heading4"/>
      </w:pPr>
      <w:r>
        <w:t xml:space="preserve">The record is the builder’s own.</w:t>
      </w:r>
    </w:p>
    <w:p>
      <w:pPr>
        <w:pStyle w:val="FirstParagraph"/>
      </w:pPr>
      <w:r>
        <w:t xml:space="preserve">The provenance strings were</w:t>
      </w:r>
      <w:r>
        <w:t xml:space="preserve"> </w:t>
      </w:r>
      <w:r>
        <w:t xml:space="preserve">written by the same project whose reliability they describe. There is no</w:t>
      </w:r>
      <w:r>
        <w:t xml:space="preserve"> </w:t>
      </w:r>
      <w:r>
        <w:t xml:space="preserve">independent audit, and a record of this kind cannot show what it failed to</w:t>
      </w:r>
      <w:r>
        <w:t xml:space="preserve"> </w:t>
      </w:r>
      <w:r>
        <w:t xml:space="preserve">notice. Its usefulness rests on having been written contemporaneously, article</w:t>
      </w:r>
      <w:r>
        <w:t xml:space="preserve"> </w:t>
      </w:r>
      <w:r>
        <w:t xml:space="preserve">by article, and on being published in full for inspection.</w:t>
      </w:r>
    </w:p>
    <w:bookmarkEnd w:id="64"/>
    <w:bookmarkStart w:id="65" w:name="Xfdda6233e4250e31218cf362a0db447148a2196"/>
    <w:p>
      <w:pPr>
        <w:pStyle w:val="Heading4"/>
      </w:pPr>
      <w:r>
        <w:t xml:space="preserve">Classification is by rule over free text.</w:t>
      </w:r>
    </w:p>
    <w:p>
      <w:pPr>
        <w:pStyle w:val="FirstParagraph"/>
      </w:pPr>
      <w:r>
        <w:t xml:space="preserve">Section 3</w:t>
      </w:r>
      <w:r>
        <w:t xml:space="preserve"> </w:t>
      </w:r>
      <w:r>
        <w:t xml:space="preserve">sets out the rule and the full string-to-classification table is published. It</w:t>
      </w:r>
      <w:r>
        <w:t xml:space="preserve"> </w:t>
      </w:r>
      <w:r>
        <w:t xml:space="preserve">is nonetheless a rule applied to sentences, and a different rule would give</w:t>
      </w:r>
      <w:r>
        <w:t xml:space="preserve"> </w:t>
      </w:r>
      <w:r>
        <w:t xml:space="preserve">somewhat different numbers. The direction of that uncertainty is not knowable</w:t>
      </w:r>
      <w:r>
        <w:t xml:space="preserve"> </w:t>
      </w:r>
      <w:r>
        <w:t xml:space="preserve">in advance, unlike the sample-coverage bias, which is.</w:t>
      </w:r>
    </w:p>
    <w:bookmarkEnd w:id="65"/>
    <w:bookmarkStart w:id="66" w:name="Xed737a2d8778432b22078b616a80869c7e685da"/>
    <w:p>
      <w:pPr>
        <w:pStyle w:val="Heading4"/>
      </w:pPr>
      <w:r>
        <w:t xml:space="preserve">‘</w:t>
      </w:r>
      <w:r>
        <w:t xml:space="preserve">Unreachable</w:t>
      </w:r>
      <w:r>
        <w:t xml:space="preserve">’</w:t>
      </w:r>
      <w:r>
        <w:t xml:space="preserve"> </w:t>
      </w:r>
      <w:r>
        <w:t xml:space="preserve">is a build-time observation, not a service-level</w:t>
      </w:r>
      <w:r>
        <w:t xml:space="preserve"> </w:t>
      </w:r>
      <w:r>
        <w:t xml:space="preserve">measurement.</w:t>
      </w:r>
    </w:p>
    <w:p>
      <w:pPr>
        <w:pStyle w:val="FirstParagraph"/>
      </w:pPr>
      <w:r>
        <w:t xml:space="preserve">The records document failures encountered by one collector, from</w:t>
      </w:r>
      <w:r>
        <w:t xml:space="preserve"> </w:t>
      </w:r>
      <w:r>
        <w:t xml:space="preserve">one network, over one period. They are not a monitoring study, and they cannot</w:t>
      </w:r>
      <w:r>
        <w:t xml:space="preserve"> </w:t>
      </w:r>
      <w:r>
        <w:t xml:space="preserve">distinguish an outage from a block, a rate limit, or a route that happened to</w:t>
      </w:r>
      <w:r>
        <w:t xml:space="preserve"> </w:t>
      </w:r>
      <w:r>
        <w:t xml:space="preserve">fail from where the request originated.</w:t>
      </w:r>
    </w:p>
    <w:bookmarkEnd w:id="66"/>
    <w:bookmarkStart w:id="67" w:name="article-level-coverage-is-uneven."/>
    <w:p>
      <w:pPr>
        <w:pStyle w:val="Heading4"/>
      </w:pPr>
      <w:r>
        <w:t xml:space="preserve">Article-level coverage is uneven.</w:t>
      </w:r>
    </w:p>
    <w:p>
      <w:pPr>
        <w:pStyle w:val="FirstParagraph"/>
      </w:pPr>
      <w:r>
        <w:t xml:space="preserve">As section 5.1 sets out, the</w:t>
      </w:r>
      <w:r>
        <w:t xml:space="preserve"> </w:t>
      </w:r>
      <w:r>
        <w:t xml:space="preserve">weakest tier is the least represented in the article-weighted measures. The</w:t>
      </w:r>
      <w:r>
        <w:t xml:space="preserve"> </w:t>
      </w:r>
      <w:r>
        <w:t xml:space="preserve">instrument-weighted figures do not have this problem and are reported alongside</w:t>
      </w:r>
      <w:r>
        <w:t xml:space="preserve"> </w:t>
      </w:r>
      <w:r>
        <w:t xml:space="preserve">throughout.</w:t>
      </w:r>
    </w:p>
    <w:bookmarkEnd w:id="67"/>
    <w:bookmarkEnd w:id="68"/>
    <w:bookmarkStart w:id="69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Governments publish law, and increasingly the audience is machinery. This</w:t>
      </w:r>
      <w:r>
        <w:t xml:space="preserve"> </w:t>
      </w:r>
      <w:r>
        <w:t xml:space="preserve">article asked whether the record that machinery consumes is available when</w:t>
      </w:r>
      <w:r>
        <w:t xml:space="preserve"> </w:t>
      </w:r>
      <w:r>
        <w:t xml:space="preserve">needed and consistent when read, using the only evidence that can answer it: a</w:t>
      </w:r>
      <w:r>
        <w:t xml:space="preserve"> </w:t>
      </w:r>
      <w:r>
        <w:t xml:space="preserve">contemporaneous account of what each retrieval attempt actually returned.</w:t>
      </w:r>
    </w:p>
    <w:p>
      <w:pPr>
        <w:pStyle w:val="BodyText"/>
      </w:pPr>
      <w:r>
        <w:t xml:space="preserve">For roughly two thirds of one state’s published legal corpus, the answer is</w:t>
      </w:r>
      <w:r>
        <w:t xml:space="preserve"> </w:t>
      </w:r>
      <w:r>
        <w:t xml:space="preserve">straightforwardly yes — two or more official sources, in agreement, obtained</w:t>
      </w:r>
      <w:r>
        <w:t xml:space="preserve"> </w:t>
      </w:r>
      <w:r>
        <w:t xml:space="preserve">without difficulty. For the rest it is qualified. The official source could not</w:t>
      </w:r>
      <w:r>
        <w:t xml:space="preserve"> </w:t>
      </w:r>
      <w:r>
        <w:t xml:space="preserve">be reached for one article in five. One article in five arrived through a web</w:t>
      </w:r>
      <w:r>
        <w:t xml:space="preserve"> </w:t>
      </w:r>
      <w:r>
        <w:t xml:space="preserve">archive, and two thirds of those cases coincide with a live source that would</w:t>
      </w:r>
      <w:r>
        <w:t xml:space="preserve"> </w:t>
      </w:r>
      <w:r>
        <w:t xml:space="preserve">not respond. One instrument in seven had to be read as images. Around a sixth</w:t>
      </w:r>
      <w:r>
        <w:t xml:space="preserve"> </w:t>
      </w:r>
      <w:r>
        <w:t xml:space="preserve">to a quarter of the corpus, depending on the unit counted, rests on evidence a</w:t>
      </w:r>
      <w:r>
        <w:t xml:space="preserve"> </w:t>
      </w:r>
      <w:r>
        <w:t xml:space="preserve">careful user would want to treat as less than fully attested. In four</w:t>
      </w:r>
      <w:r>
        <w:t xml:space="preserve"> </w:t>
      </w:r>
      <w:r>
        <w:t xml:space="preserve">instruments the record contradicts itself, and in each the contradiction is</w:t>
      </w:r>
      <w:r>
        <w:t xml:space="preserve"> </w:t>
      </w:r>
      <w:r>
        <w:t xml:space="preserve">between two things the same official portal publishes.</w:t>
      </w:r>
    </w:p>
    <w:p>
      <w:pPr>
        <w:pStyle w:val="BodyText"/>
      </w:pPr>
      <w:r>
        <w:t xml:space="preserve">None of this makes the law unknowable, and none of it is an accusation. Legal</w:t>
      </w:r>
      <w:r>
        <w:t xml:space="preserve"> </w:t>
      </w:r>
      <w:r>
        <w:t xml:space="preserve">publication in this jurisdiction is extensive, it is free, and for most of the</w:t>
      </w:r>
      <w:r>
        <w:t xml:space="preserve"> </w:t>
      </w:r>
      <w:r>
        <w:t xml:space="preserve">corpus it worked. The finding is narrower and more actionable: the gap is</w:t>
      </w:r>
      <w:r>
        <w:t xml:space="preserve"> </w:t>
      </w:r>
      <w:r>
        <w:t xml:space="preserve">between how those who build on official data assume it behaves and how it was</w:t>
      </w:r>
      <w:r>
        <w:t xml:space="preserve"> </w:t>
      </w:r>
      <w:r>
        <w:t xml:space="preserve">observed to behave across one sustained attempt to use it — and nothing</w:t>
      </w:r>
      <w:r>
        <w:t xml:space="preserve"> </w:t>
      </w:r>
      <w:r>
        <w:t xml:space="preserve">published alongside the data tells a user which case they are in.</w:t>
      </w:r>
    </w:p>
    <w:p>
      <w:pPr>
        <w:pStyle w:val="BodyText"/>
      </w:pPr>
      <w:r>
        <w:t xml:space="preserve">Three things would close that gap, and none requires better sources, which is</w:t>
      </w:r>
      <w:r>
        <w:t xml:space="preserve"> </w:t>
      </w:r>
      <w:r>
        <w:t xml:space="preserve">nobody’s to promise. Record availability as a service property rather than an</w:t>
      </w:r>
      <w:r>
        <w:t xml:space="preserve"> </w:t>
      </w:r>
      <w:r>
        <w:t xml:space="preserve">assumption. Deposit the record rather than relying on third-party archives that</w:t>
      </w:r>
      <w:r>
        <w:t xml:space="preserve"> </w:t>
      </w:r>
      <w:r>
        <w:t xml:space="preserve">have taken on no obligation. And carry the strength of the evidence with each</w:t>
      </w:r>
      <w:r>
        <w:t xml:space="preserve"> </w:t>
      </w:r>
      <w:r>
        <w:t xml:space="preserve">record, in five closed fields rather than a sentence.</w:t>
      </w:r>
    </w:p>
    <w:p>
      <w:pPr>
        <w:pStyle w:val="BodyText"/>
      </w:pPr>
      <w:r>
        <w:t xml:space="preserve">The last of these is the one this article can demonstrate rather than argue.</w:t>
      </w:r>
      <w:r>
        <w:t xml:space="preserve"> </w:t>
      </w:r>
      <w:r>
        <w:t xml:space="preserve">Everything measured here was recoverable only because someone wrote down, at</w:t>
      </w:r>
      <w:r>
        <w:t xml:space="preserve"> </w:t>
      </w:r>
      <w:r>
        <w:t xml:space="preserve">the time, what each attempt returned. That they wrote it in prose is why the</w:t>
      </w:r>
      <w:r>
        <w:t xml:space="preserve"> </w:t>
      </w:r>
      <w:r>
        <w:t xml:space="preserve">analysis needed a classifier, a published mapping and two rounds of correction</w:t>
      </w:r>
      <w:r>
        <w:t xml:space="preserve"> </w:t>
      </w:r>
      <w:r>
        <w:t xml:space="preserve">before it could report a number — and why nearly a quarter of the values</w:t>
      </w:r>
      <w:r>
        <w:t xml:space="preserve"> </w:t>
      </w:r>
      <w:r>
        <w:t xml:space="preserve">turned out not to be provenance at all. The record was worth keeping. It was</w:t>
      </w:r>
      <w:r>
        <w:t xml:space="preserve"> </w:t>
      </w:r>
      <w:r>
        <w:t xml:space="preserve">kept in the wrong shape. Both halves of that sentence are the finding.</w:t>
      </w:r>
    </w:p>
    <w:bookmarkEnd w:id="69"/>
    <w:bookmarkStart w:id="80" w:name="declarations"/>
    <w:p>
      <w:pPr>
        <w:pStyle w:val="Heading1"/>
      </w:pPr>
      <w:r>
        <w:t xml:space="preserve">Declarations</w:t>
      </w:r>
    </w:p>
    <w:bookmarkStart w:id="70" w:name="financial-support."/>
    <w:p>
      <w:pPr>
        <w:pStyle w:val="Heading4"/>
      </w:pPr>
      <w:r>
        <w:t xml:space="preserve">Financial support.</w:t>
      </w:r>
    </w:p>
    <w:p>
      <w:pPr>
        <w:pStyle w:val="FirstParagraph"/>
      </w:pPr>
      <w:r>
        <w:t xml:space="preserve">This research received no specific grant from</w:t>
      </w:r>
      <w:r>
        <w:t xml:space="preserve"> </w:t>
      </w:r>
      <w:r>
        <w:t xml:space="preserve">any funding agency, commercial or not-for-profit sectors.</w:t>
      </w:r>
    </w:p>
    <w:bookmarkEnd w:id="70"/>
    <w:bookmarkStart w:id="71" w:name="competing-interests."/>
    <w:p>
      <w:pPr>
        <w:pStyle w:val="Heading4"/>
      </w:pPr>
      <w:r>
        <w:t xml:space="preserve">Competing interests.</w:t>
      </w:r>
    </w:p>
    <w:p>
      <w:pPr>
        <w:pStyle w:val="FirstParagraph"/>
      </w:pPr>
      <w:r>
        <w:t xml:space="preserve">The author declares none.</w:t>
      </w:r>
    </w:p>
    <w:bookmarkEnd w:id="71"/>
    <w:bookmarkStart w:id="72" w:name="ethics-approval."/>
    <w:p>
      <w:pPr>
        <w:pStyle w:val="Heading4"/>
      </w:pPr>
      <w:r>
        <w:t xml:space="preserve">Ethics approval.</w:t>
      </w:r>
    </w:p>
    <w:p>
      <w:pPr>
        <w:pStyle w:val="FirstParagraph"/>
      </w:pPr>
      <w:r>
        <w:t xml:space="preserve">Not applicable. The study involves no human</w:t>
      </w:r>
      <w:r>
        <w:t xml:space="preserve"> </w:t>
      </w:r>
      <w:r>
        <w:t xml:space="preserve">participants, no animal subjects and no personal data; it analyses published</w:t>
      </w:r>
      <w:r>
        <w:t xml:space="preserve"> </w:t>
      </w:r>
      <w:r>
        <w:t xml:space="preserve">national legislation and the build record of an openly published corpus.</w:t>
      </w:r>
    </w:p>
    <w:bookmarkEnd w:id="72"/>
    <w:bookmarkStart w:id="73" w:name="declaration-of-generative-ai-use."/>
    <w:p>
      <w:pPr>
        <w:pStyle w:val="Heading4"/>
      </w:pPr>
      <w:r>
        <w:t xml:space="preserve">Declaration of generative AI use.</w:t>
      </w:r>
    </w:p>
    <w:p>
      <w:pPr>
        <w:pStyle w:val="FirstParagraph"/>
      </w:pPr>
      <w:r>
        <w:rPr>
          <w:iCs/>
          <w:i/>
        </w:rPr>
        <w:t xml:space="preserve">Tool:</w:t>
      </w:r>
      <w:r>
        <w:t xml:space="preserve"> </w:t>
      </w:r>
      <w:r>
        <w:t xml:space="preserve">Claude Opus 5</w:t>
      </w:r>
      <w:r>
        <w:t xml:space="preserve"> </w:t>
      </w:r>
      <w:r>
        <w:t xml:space="preserve">(Anthropic).</w:t>
      </w:r>
      <w:r>
        <w:t xml:space="preserve"> </w:t>
      </w:r>
      <w:r>
        <w:rPr>
          <w:iCs/>
          <w:i/>
        </w:rPr>
        <w:t xml:space="preserve">How it was used:</w:t>
      </w:r>
      <w:r>
        <w:t xml:space="preserve"> </w:t>
      </w:r>
      <w:r>
        <w:t xml:space="preserve">as a research assistant throughout — to</w:t>
      </w:r>
      <w:r>
        <w:t xml:space="preserve"> </w:t>
      </w:r>
      <w:r>
        <w:t xml:space="preserve">write the analysis and figure scripts that produce every number and figure</w:t>
      </w:r>
      <w:r>
        <w:t xml:space="preserve"> </w:t>
      </w:r>
      <w:r>
        <w:t xml:space="preserve">reported here, to draft and revise the manuscript, and to run adversarial</w:t>
      </w:r>
      <w:r>
        <w:t xml:space="preserve"> </w:t>
      </w:r>
      <w:r>
        <w:t xml:space="preserve">checks against its own claims, which caught errors before submission.</w:t>
      </w:r>
      <w:r>
        <w:t xml:space="preserve"> </w:t>
      </w:r>
      <w:r>
        <w:rPr>
          <w:iCs/>
          <w:i/>
        </w:rPr>
        <w:t xml:space="preserve">Reason for use:</w:t>
      </w:r>
      <w:r>
        <w:t xml:space="preserve"> </w:t>
      </w:r>
      <w:r>
        <w:t xml:space="preserve">the study required classifying and auditing a free-text</w:t>
      </w:r>
      <w:r>
        <w:t xml:space="preserve"> </w:t>
      </w:r>
      <w:r>
        <w:t xml:space="preserve">provenance record across 15,408 articles, work that is not feasible by hand at</w:t>
      </w:r>
      <w:r>
        <w:t xml:space="preserve"> </w:t>
      </w:r>
      <w:r>
        <w:t xml:space="preserve">that scale for a single researcher. The author set the research question,</w:t>
      </w:r>
      <w:r>
        <w:t xml:space="preserve"> </w:t>
      </w:r>
      <w:r>
        <w:t xml:space="preserve">directed the analysis, verified the outputs against the underlying records, and</w:t>
      </w:r>
      <w:r>
        <w:t xml:space="preserve"> </w:t>
      </w:r>
      <w:r>
        <w:t xml:space="preserve">is responsible for the content. Every number and figure is regenerated by the</w:t>
      </w:r>
      <w:r>
        <w:t xml:space="preserve"> </w:t>
      </w:r>
      <w:r>
        <w:t xml:space="preserve">openly published scripts from the openly published corpus.</w:t>
      </w:r>
    </w:p>
    <w:bookmarkEnd w:id="73"/>
    <w:bookmarkStart w:id="74" w:name="credit-roles."/>
    <w:p>
      <w:pPr>
        <w:pStyle w:val="Heading4"/>
      </w:pPr>
      <w:r>
        <w:t xml:space="preserve">CRediT roles.</w:t>
      </w:r>
    </w:p>
    <w:p>
      <w:pPr>
        <w:pStyle w:val="FirstParagraph"/>
      </w:pPr>
      <w:r>
        <w:t xml:space="preserve">A. Almohammedi: conceptualisation, data curation,</w:t>
      </w:r>
      <w:r>
        <w:t xml:space="preserve"> </w:t>
      </w:r>
      <w:r>
        <w:t xml:space="preserve">methodology, software, formal analysis, investigation, writing — original</w:t>
      </w:r>
      <w:r>
        <w:t xml:space="preserve"> </w:t>
      </w:r>
      <w:r>
        <w:t xml:space="preserve">draft, writing — review and editing.</w:t>
      </w:r>
    </w:p>
    <w:bookmarkEnd w:id="74"/>
    <w:bookmarkStart w:id="78" w:name="data-availability."/>
    <w:p>
      <w:pPr>
        <w:pStyle w:val="Heading4"/>
      </w:pPr>
      <w:r>
        <w:t xml:space="preserve">Data availability.</w:t>
      </w:r>
    </w:p>
    <w:p>
      <w:pPr>
        <w:pStyle w:val="FirstParagraph"/>
      </w:pPr>
      <w:r>
        <w:t xml:space="preserve">The corpus, its provenance and verification</w:t>
      </w:r>
      <w:r>
        <w:t xml:space="preserve"> </w:t>
      </w:r>
      <w:r>
        <w:t xml:space="preserve">layers, and the analysis and figure scripts that reproduce every number and</w:t>
      </w:r>
      <w:r>
        <w:t xml:space="preserve"> </w:t>
      </w:r>
      <w:r>
        <w:t xml:space="preserve">figure reported here are openly available at</w:t>
      </w:r>
      <w:r>
        <w:t xml:space="preserve"> </w:t>
      </w:r>
      <w:hyperlink r:id="rId75">
        <w:r>
          <w:rPr>
            <w:rStyle w:val="Hyperlink"/>
          </w:rPr>
          <w:t xml:space="preserve">https://github.com/Abdullah-m7/saudi-legal-corpus-ai</w:t>
        </w:r>
      </w:hyperlink>
      <w:r>
        <w:t xml:space="preserve"> </w:t>
      </w:r>
      <w:r>
        <w:t xml:space="preserve">and archived on</w:t>
      </w:r>
      <w:r>
        <w:t xml:space="preserve"> </w:t>
      </w:r>
      <w:r>
        <w:t xml:space="preserve">Zenodo under the MIT licence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10.5281/zenodo.22019183</w:t>
        </w:r>
      </w:hyperlink>
      <w:r>
        <w:t xml:space="preserve">;</w:t>
      </w:r>
      <w:r>
        <w:t xml:space="preserve"> </w:t>
      </w:r>
      <w:r>
        <w:t xml:space="preserve">concept DOI</w:t>
      </w:r>
      <w:r>
        <w:t xml:space="preserve"> </w:t>
      </w:r>
      <w:hyperlink r:id="rId77">
        <w:r>
          <w:rPr>
            <w:rStyle w:val="Hyperlink"/>
          </w:rPr>
          <w:t xml:space="preserve">10.5281/zenodo.22019182</w:t>
        </w:r>
      </w:hyperlink>
      <w:r>
        <w:t xml:space="preserve">).</w:t>
      </w:r>
      <w:r>
        <w:t xml:space="preserve"> </w:t>
      </w:r>
      <w:r>
        <w:t xml:space="preserve">The full string-to-classification table on which section 4 rests is published</w:t>
      </w:r>
      <w:r>
        <w:t xml:space="preserve"> </w:t>
      </w:r>
      <w:r>
        <w:t xml:space="preserve">with the analysis results.</w:t>
      </w:r>
    </w:p>
    <w:bookmarkEnd w:id="78"/>
    <w:bookmarkStart w:id="79" w:name="legal-status."/>
    <w:p>
      <w:pPr>
        <w:pStyle w:val="Heading4"/>
      </w:pPr>
      <w:r>
        <w:t xml:space="preserve">Legal status.</w:t>
      </w:r>
    </w:p>
    <w:p>
      <w:pPr>
        <w:pStyle w:val="FirstParagraph"/>
      </w:pPr>
      <w:r>
        <w:t xml:space="preserve">This article analyses a non-official research corpus.</w:t>
      </w:r>
      <w:r>
        <w:t xml:space="preserve"> </w:t>
      </w:r>
      <w:r>
        <w:t xml:space="preserve">Nothing here constitutes legal advice, and the binding text of any instrument</w:t>
      </w:r>
      <w:r>
        <w:t xml:space="preserve"> </w:t>
      </w:r>
      <w:r>
        <w:t xml:space="preserve">is the Arabic original published in</w:t>
      </w:r>
      <w:r>
        <w:t xml:space="preserve"> </w:t>
      </w:r>
      <w:r>
        <w:rPr>
          <w:iCs/>
          <w:i/>
        </w:rPr>
        <w:t xml:space="preserve">Umm al-Qura</w:t>
      </w:r>
      <w:r>
        <w:t xml:space="preserve">.</w:t>
      </w:r>
    </w:p>
    <w:bookmarkEnd w:id="79"/>
    <w:bookmarkEnd w:id="8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Environmental Law</w:t>
      </w:r>
      <w:r>
        <w:t xml:space="preserve"> </w:t>
      </w:r>
      <w:r>
        <w:t xml:space="preserve">(Royal Decree M/165, 19/11/1441H) art 1; the provenance record for the article</w:t>
      </w:r>
      <w:r>
        <w:t xml:space="preserve"> </w:t>
      </w:r>
      <w:r>
        <w:t xml:space="preserve">is published with the analysis code.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The corpus and the scripts that reproduce every number and</w:t>
      </w:r>
      <w:r>
        <w:t xml:space="preserve"> </w:t>
      </w:r>
      <w:r>
        <w:t xml:space="preserve">figure here are openly archived; see the data availability statement.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Peter Henderson and others,</w:t>
      </w:r>
      <w:r>
        <w:t xml:space="preserve"> </w:t>
      </w:r>
      <w:r>
        <w:t xml:space="preserve">‘</w:t>
      </w:r>
      <w:r>
        <w:t xml:space="preserve">Pile of Law:</w:t>
      </w:r>
      <w:r>
        <w:t xml:space="preserve"> </w:t>
      </w:r>
      <w:r>
        <w:t xml:space="preserve">Learning Responsible Data Filtering from the Law and a 256GB Open-Source Legal</w:t>
      </w:r>
      <w:r>
        <w:t xml:space="preserve"> </w:t>
      </w:r>
      <w:r>
        <w:t xml:space="preserve">Dataset</w:t>
      </w:r>
      <w:r>
        <w:t xml:space="preserve">’</w:t>
      </w:r>
      <w:r>
        <w:t xml:space="preserve"> </w:t>
      </w:r>
      <w:r>
        <w:t xml:space="preserve">(NeurIPS 2022, Datasets and Benchmarks Track); Joel Niklaus and</w:t>
      </w:r>
      <w:r>
        <w:t xml:space="preserve"> </w:t>
      </w:r>
      <w:r>
        <w:t xml:space="preserve">others,</w:t>
      </w:r>
      <w:r>
        <w:t xml:space="preserve"> </w:t>
      </w:r>
      <w:r>
        <w:t xml:space="preserve">‘</w:t>
      </w:r>
      <w:r>
        <w:t xml:space="preserve">MultiLegalPile: A 689GB Multilingual Legal Corpus</w:t>
      </w:r>
      <w:r>
        <w:t xml:space="preserve">’</w:t>
      </w:r>
      <w:r>
        <w:t xml:space="preserve"> </w:t>
      </w:r>
      <w:r>
        <w:t xml:space="preserve">(Proceedings of the</w:t>
      </w:r>
      <w:r>
        <w:t xml:space="preserve"> </w:t>
      </w:r>
      <w:r>
        <w:t xml:space="preserve">62nd Annual Meeting of the Association for Computational Linguistics, 2024).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Timnit Gebru and others,</w:t>
      </w:r>
      <w:r>
        <w:t xml:space="preserve"> </w:t>
      </w:r>
      <w:r>
        <w:t xml:space="preserve">‘</w:t>
      </w:r>
      <w:r>
        <w:t xml:space="preserve">Datasheets for Datasets</w:t>
      </w:r>
      <w:r>
        <w:t xml:space="preserve">’</w:t>
      </w:r>
      <w:r>
        <w:t xml:space="preserve"> </w:t>
      </w:r>
      <w:r>
        <w:t xml:space="preserve">(2021) 64</w:t>
      </w:r>
      <w:r>
        <w:t xml:space="preserve"> </w:t>
      </w:r>
      <w:r>
        <w:t xml:space="preserve">Communications of the ACM 86; Emily M Bender and Batya Friedman,</w:t>
      </w:r>
      <w:r>
        <w:t xml:space="preserve"> </w:t>
      </w:r>
      <w:r>
        <w:t xml:space="preserve">‘</w:t>
      </w:r>
      <w:r>
        <w:t xml:space="preserve">Data</w:t>
      </w:r>
      <w:r>
        <w:t xml:space="preserve"> </w:t>
      </w:r>
      <w:r>
        <w:t xml:space="preserve">Statements for Natural Language Processing</w:t>
      </w:r>
      <w:r>
        <w:t xml:space="preserve">’</w:t>
      </w:r>
      <w:r>
        <w:t xml:space="preserve"> </w:t>
      </w:r>
      <w:r>
        <w:t xml:space="preserve">(2018) 6 Transactions of the</w:t>
      </w:r>
      <w:r>
        <w:t xml:space="preserve"> </w:t>
      </w:r>
      <w:r>
        <w:t xml:space="preserve">Association for Computational Linguistics 587.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Monica Palmirani and</w:t>
      </w:r>
      <w:r>
        <w:t xml:space="preserve"> </w:t>
      </w:r>
      <w:r>
        <w:t xml:space="preserve">Fabio Vitali,</w:t>
      </w:r>
      <w:r>
        <w:t xml:space="preserve"> </w:t>
      </w:r>
      <w:r>
        <w:t xml:space="preserve">‘</w:t>
      </w:r>
      <w:r>
        <w:t xml:space="preserve">Akoma-Ntoso for Legal Documents</w:t>
      </w:r>
      <w:r>
        <w:t xml:space="preserve">’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Legislative XML for</w:t>
      </w:r>
      <w:r>
        <w:rPr>
          <w:iCs/>
          <w:i/>
        </w:rPr>
        <w:t xml:space="preserve"> </w:t>
      </w:r>
      <w:r>
        <w:rPr>
          <w:iCs/>
          <w:i/>
        </w:rPr>
        <w:t xml:space="preserve">the Semantic Web</w:t>
      </w:r>
      <w:r>
        <w:t xml:space="preserve"> </w:t>
      </w:r>
      <w:r>
        <w:t xml:space="preserve">(Springer 2011) 75.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Mark D Wilkinson and others,</w:t>
      </w:r>
      <w:r>
        <w:t xml:space="preserve"> </w:t>
      </w:r>
      <w:r>
        <w:t xml:space="preserve">‘</w:t>
      </w:r>
      <w:r>
        <w:t xml:space="preserve">The FAIR Guiding</w:t>
      </w:r>
      <w:r>
        <w:t xml:space="preserve"> </w:t>
      </w:r>
      <w:r>
        <w:t xml:space="preserve">Principles for Scientific Data Management and Stewardship</w:t>
      </w:r>
      <w:r>
        <w:t xml:space="preserve">’</w:t>
      </w:r>
      <w:r>
        <w:t xml:space="preserve"> </w:t>
      </w:r>
      <w:r>
        <w:t xml:space="preserve">(2016) 3 Scientific</w:t>
      </w:r>
      <w:r>
        <w:t xml:space="preserve"> </w:t>
      </w:r>
      <w:r>
        <w:t xml:space="preserve">Data 160018.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Timothy Lebo, Satya Sahoo and Deborah McGuinness (eds),</w:t>
      </w:r>
      <w:r>
        <w:t xml:space="preserve"> </w:t>
      </w:r>
      <w:r>
        <w:rPr>
          <w:iCs/>
          <w:i/>
        </w:rPr>
        <w:t xml:space="preserve">PROV-O: The PROV Ontology</w:t>
      </w:r>
      <w:r>
        <w:t xml:space="preserve"> </w:t>
      </w:r>
      <w:r>
        <w:t xml:space="preserve">(W3C Recommendation, 30 April 2013)</w:t>
      </w:r>
      <w:r>
        <w:t xml:space="preserve"> </w:t>
      </w:r>
      <w:r>
        <w:t xml:space="preserve">&lt;http://www.w3.org/TR/2013/REC-prov-o-20130430/&gt;.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Jonathan Zittrain, Kendra Albert and Lawrence</w:t>
      </w:r>
      <w:r>
        <w:t xml:space="preserve"> </w:t>
      </w:r>
      <w:r>
        <w:t xml:space="preserve">Lessig,</w:t>
      </w:r>
      <w:r>
        <w:t xml:space="preserve"> </w:t>
      </w:r>
      <w:r>
        <w:t xml:space="preserve">‘</w:t>
      </w:r>
      <w:r>
        <w:t xml:space="preserve">Perma: Scoping and Addressing the Problem of Link and Reference Rot in</w:t>
      </w:r>
      <w:r>
        <w:t xml:space="preserve"> </w:t>
      </w:r>
      <w:r>
        <w:t xml:space="preserve">Legal Citations</w:t>
      </w:r>
      <w:r>
        <w:t xml:space="preserve">’</w:t>
      </w:r>
      <w:r>
        <w:t xml:space="preserve"> </w:t>
      </w:r>
      <w:r>
        <w:t xml:space="preserve">(2014) 127 Harvard Law Review Forum 176.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Council</w:t>
      </w:r>
      <w:r>
        <w:t xml:space="preserve"> </w:t>
      </w:r>
      <w:r>
        <w:t xml:space="preserve">of Ministers Resolution 250, 7/4/1444H.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line="480" w:lineRule="auto"/>
    </w:pPr>
  </w:style>
  <w:style w:styleId="BodyText" w:type="paragraph">
    <w:name w:val="Body Text"/>
    <w:basedOn w:val="Normal"/>
    <w:link w:val="BodyTextChar"/>
    <w:pPr>
      <w:spacing w:after="0" w:line="480" w:lineRule="auto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cs="Times New Roman" w:eastAsia="Times New Roman" w:hAnsi="Times New Roman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Times New Roman" w:cs="Times New Roman" w:eastAsia="Times New Roman" w:hAnsi="Times New Roman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Times New Roman" w:cs="Times New Roman" w:eastAsia="Times New Roman" w:hAnsi="Times New Roman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Times New Roman" w:cs="Times New Roman" w:eastAsia="Times New Roman" w:hAnsi="Times New Roman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cs="Times New Roman" w:eastAsia="Times New Roman" w:hAnsi="Times New Roman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cs="Times New Roman" w:eastAsia="Times New Roman" w:hAnsi="Times New Roman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cs="Times New Roman" w:eastAsia="Times New Roman" w:hAnsi="Times New Roman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cs="Times New Roman" w:eastAsia="Times New Roman" w:hAnsi="Times New Roman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cs="Times New Roman" w:eastAsia="Times New Roman" w:hAnsi="Times New Roman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cs="Times New Roman" w:eastAsia="Times New Roman" w:hAnsi="Times New Roman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after="0" w:line="480" w:lineRule="auto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Times New Roman" w:cs="Times New Roman" w:eastAsia="Times New Roman" w:hAnsi="Times New Roman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="Times New Roman" w:eastAsia="Times New Roman" w:hAnsi="Times New Roman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77" Target="https://doi.org/10.5281/zenodo.22019182" TargetMode="External" /><Relationship Type="http://schemas.openxmlformats.org/officeDocument/2006/relationships/hyperlink" Id="rId76" Target="https://doi.org/10.5281/zenodo.22019183" TargetMode="External" /><Relationship Type="http://schemas.openxmlformats.org/officeDocument/2006/relationships/hyperlink" Id="rId75" Target="https://github.com/Abdullah-m7/saudi-legal-corpus-ai" TargetMode="External" /><Relationship Type="http://schemas.openxmlformats.org/officeDocument/2006/relationships/hyperlink" Id="rId20" Target="https://orcid.org/0009-0001-0832-099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7" Target="https://doi.org/10.5281/zenodo.22019182" TargetMode="External" /><Relationship Type="http://schemas.openxmlformats.org/officeDocument/2006/relationships/hyperlink" Id="rId76" Target="https://doi.org/10.5281/zenodo.22019183" TargetMode="External" /><Relationship Type="http://schemas.openxmlformats.org/officeDocument/2006/relationships/hyperlink" Id="rId75" Target="https://github.com/Abdullah-m7/saudi-legal-corpus-ai" TargetMode="External" /><Relationship Type="http://schemas.openxmlformats.org/officeDocument/2006/relationships/hyperlink" Id="rId20" Target="https://orcid.org/0009-0001-0832-099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 You Build on the Official Record? Availability, Consistency and Provenance in a State’s Published Law</dc:title>
  <dc:creator>Abdullah Almohammedi Independent Researcher abdullah.m.almohammedi@gmail.com ORCID: 0009-0001-0832-0995</dc:creator>
  <cp:keywords/>
  <dcterms:created xsi:type="dcterms:W3CDTF">2026-08-21T08:47:08Z</dcterms:created>
  <dcterms:modified xsi:type="dcterms:W3CDTF">2026-08-21T08:47:08Z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