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Measuring Appellate Reason-Giving in Saudi Commercial Courts</w:t>
      </w:r>
    </w:p>
    <w:p>
      <w:pPr>
        <w:pStyle w:val="BodyText"/>
      </w:pPr>
      <w:r>
        <w:t xml:space="preserve">Abdullah Almohammedi</w:t>
      </w:r>
      <w:r>
        <w:br/>
      </w:r>
      <w:r>
        <w:t xml:space="preserve">Independent Researcher, Kingdom of Saudi Arabia</w:t>
      </w:r>
      <w:r>
        <w:br/>
      </w:r>
      <w:r>
        <w:rPr>
          <w:rStyle w:val="VerbatimChar"/>
        </w:rPr>
        <w:t xml:space="preserve">abdullah.m.almohammedi@gmail.com</w:t>
      </w:r>
      <w:r>
        <w:br/>
      </w:r>
      <w:r>
        <w:t xml:space="preserve">ORCID: 0009-0001-0832-0995</w:t>
      </w:r>
    </w:p>
    <w:p>
      <w:pPr>
        <w:pStyle w:val="BodyText"/>
      </w:pPr>
      <w:r>
        <w:rPr>
          <w:bCs/>
          <w:b/>
        </w:rPr>
        <w:t xml:space="preserve">Author biography.</w:t>
      </w:r>
      <w:r>
        <w:t xml:space="preserve"> </w:t>
      </w:r>
      <w:r>
        <w:t xml:space="preserve">Abdullah Almohammedi is an independent</w:t>
      </w:r>
      <w:r>
        <w:t xml:space="preserve"> </w:t>
      </w:r>
      <w:r>
        <w:t xml:space="preserve">researcher in Saudi Arabia working on machine-readable corpora of Saudi</w:t>
      </w:r>
      <w:r>
        <w:t xml:space="preserve"> </w:t>
      </w:r>
      <w:r>
        <w:t xml:space="preserve">legislation and adjudication. He built the corpus this article measures and</w:t>
      </w:r>
      <w:r>
        <w:t xml:space="preserve"> </w:t>
      </w:r>
      <w:r>
        <w:t xml:space="preserve">the citator that joins its two halves at the level of the article. His work is</w:t>
      </w:r>
      <w:r>
        <w:t xml:space="preserve"> </w:t>
      </w:r>
      <w:r>
        <w:t xml:space="preserve">published openly, with the code that produces every reported figure.</w:t>
      </w:r>
    </w:p>
    <w:p>
      <w:pPr>
        <w:pStyle w:val="BodyText"/>
      </w:pPr>
      <w:r>
        <w:rPr>
          <w:bCs/>
          <w:b/>
        </w:rPr>
        <w:t xml:space="preserve">Competing interests.</w:t>
      </w:r>
      <w:r>
        <w:t xml:space="preserve"> </w:t>
      </w:r>
      <w:r>
        <w:t xml:space="preserve">None. This work received no funding,</w:t>
      </w:r>
      <w:r>
        <w:t xml:space="preserve"> </w:t>
      </w:r>
      <w:r>
        <w:t xml:space="preserve">and the author holds no position in, and no relationship with, the Ministry of</w:t>
      </w:r>
      <w:r>
        <w:t xml:space="preserve"> </w:t>
      </w:r>
      <w:r>
        <w:t xml:space="preserve">Justice or any court whose judgments it measures.</w:t>
      </w:r>
    </w:p>
    <w:p>
      <w:pPr>
        <w:pStyle w:val="BodyText"/>
      </w:pPr>
      <w:r>
        <w:rPr>
          <w:bCs/>
          <w:b/>
        </w:rPr>
        <w:t xml:space="preserve">Word count.</w:t>
      </w:r>
      <w:r>
        <w:t xml:space="preserve"> </w:t>
      </w:r>
      <w:r>
        <w:t xml:space="preserve">4,229 words including footnotes.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60" w:lineRule="auto"/>
    </w:pPr>
    <w:rPr>
      <w:rFonts w:ascii="Times New Roman" w:cs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pPr>
      <w:spacing w:after="0" w:line="360" w:lineRule="auto"/>
    </w:pPr>
    <w:qFormat/>
    <w:rPr>
      <w:rFonts w:ascii="Times New Roman" w:cs="Times New Roman" w:hAnsi="Times New Roman"/>
      <w:sz w:val="24"/>
      <w:szCs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360" w:lineRule="auto"/>
    </w:pPr>
    <w:rPr>
      <w:rFonts w:ascii="Times New Roman" w:cs="Times New Roman" w:hAnsi="Times New Roman"/>
      <w:sz w:val="24"/>
      <w:szCs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line="360" w:lineRule="auto"/>
    </w:pPr>
    <w:rPr>
      <w:rFonts w:ascii="Times New Roman" w:cs="Times New Roman" w:hAnsi="Times New Roman"/>
      <w:sz w:val="20"/>
      <w:szCs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2026-08-29T13:18:10Z</dcterms:created>
  <dcterms:modified xsi:type="dcterms:W3CDTF">2026-08-29T13:18:10Z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