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Abdullah Almohammedi</w:t>
      </w:r>
    </w:p>
    <w:p>
      <w:pPr>
        <w:pStyle w:val="BodyText"/>
      </w:pPr>
      <w:r>
        <w:t xml:space="preserve">Abdullah Almohammedi studies a question most legal research takes for granted: whether a state’s own published law can be relied upon. To answer it he built the Saudi Legal Corpus, an open article-level record of Saudi Arabian legislation in which every verified article carries the sources it was reconciled from, and uses it to measure availability, consistency and amendment in the official record. He is an independent researcher based in Rabigh, Saudi Arabia, trained in law, and publishes the data and code behind every figure he reports.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2026-08-25T15:02:43Z</dcterms:created>
  <dcterms:modified xsi:type="dcterms:W3CDTF">2026-08-25T15:02:43Z</dcterms:modified>
</cp:coreProperties>
</file>

<file path=docProps/custom.xml><?xml version="1.0" encoding="utf-8"?>
<Properties xmlns="http://schemas.openxmlformats.org/officeDocument/2006/custom-properties" xmlns:vt="http://schemas.openxmlformats.org/officeDocument/2006/docPropsVTypes"/>
</file>