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Ninety-Three</w:t>
      </w:r>
      <w:r>
        <w:t xml:space="preserve"> </w:t>
      </w:r>
      <w:r>
        <w:t xml:space="preserve">Per</w:t>
      </w:r>
      <w:r>
        <w:t xml:space="preserve"> </w:t>
      </w:r>
      <w:r>
        <w:t xml:space="preserve">Cent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Backlog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Backlog:</w:t>
      </w:r>
      <w:r>
        <w:br/>
      </w:r>
      <w:r>
        <w:t xml:space="preserve">Reading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Publisher’s</w:t>
      </w:r>
      <w:r>
        <w:t xml:space="preserve"> </w:t>
      </w:r>
      <w:r>
        <w:t xml:space="preserve">Own</w:t>
      </w:r>
      <w:r>
        <w:t xml:space="preserve"> </w:t>
      </w:r>
      <w:r>
        <w:t xml:space="preserve">Quality</w:t>
      </w:r>
      <w:r>
        <w:t xml:space="preserve"> </w:t>
      </w:r>
      <w:r>
        <w:t xml:space="preserve">Signal</w:t>
      </w:r>
    </w:p>
    <w:p>
      <w:pPr>
        <w:pStyle w:val="FirstParagraph"/>
      </w:pPr>
      <w:r>
        <w:rPr>
          <w:bCs/>
          <w:b/>
        </w:rPr>
        <w:t xml:space="preserve">Ninety-Three Per Cent of a Backlog Is Not a Backlog: Reading a Public Publisher’s Own Quality Signal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Compliance systems and models grounded in statutory text now read published</w:t>
      </w:r>
      <w:r>
        <w:t xml:space="preserve"> </w:t>
      </w:r>
      <w:r>
        <w:t xml:space="preserve">law directly. A companion study proposed a five-field provenance schema so that</w:t>
      </w:r>
      <w:r>
        <w:t xml:space="preserve"> </w:t>
      </w:r>
      <w:r>
        <w:t xml:space="preserve">a consumer of such data can tell what stands behind each record; this article</w:t>
      </w:r>
      <w:r>
        <w:t xml:space="preserve"> </w:t>
      </w:r>
      <w:r>
        <w:t xml:space="preserve">applies it to a second jurisdiction. The United Kingdom’s official legislation service</w:t>
      </w:r>
      <w:r>
        <w:t xml:space="preserve"> </w:t>
      </w:r>
      <w:r>
        <w:t xml:space="preserve">publishes, per Act and machine-readably, the amendments it has not applied to</w:t>
      </w:r>
      <w:r>
        <w:t xml:space="preserve"> </w:t>
      </w:r>
      <w:r>
        <w:t xml:space="preserve">the text it displays: 14</w:t>
      </w:r>
      <w:r>
        <w:t xml:space="preserve">,</w:t>
      </w:r>
      <w:r>
        <w:t xml:space="preserve">407 across the Public General Acts of</w:t>
      </w:r>
      <w:r>
        <w:t xml:space="preserve"> </w:t>
      </w:r>
      <w:r>
        <w:t xml:space="preserve">1988–2026. Read as a backlog — the reading the flag invites, and</w:t>
      </w:r>
      <w:r>
        <w:t xml:space="preserve"> </w:t>
      </w:r>
      <w:r>
        <w:t xml:space="preserve">the one this study first recorded — that overstates by a factor of</w:t>
      </w:r>
      <w:r>
        <w:t xml:space="preserve"> </w:t>
      </w:r>
      <w:r>
        <w:t xml:space="preserve">131. 93.0 per cent are enacted but not</w:t>
      </w:r>
      <w:r>
        <w:t xml:space="preserve"> </w:t>
      </w:r>
      <w:r>
        <w:t xml:space="preserve">commenced; a further 901 carry a commencement date still in the</w:t>
      </w:r>
      <w:r>
        <w:t xml:space="preserve"> </w:t>
      </w:r>
      <w:r>
        <w:t xml:space="preserve">future, and the service is right to apply neither. What remains is</w:t>
      </w:r>
      <w:r>
        <w:t xml:space="preserve"> </w:t>
      </w:r>
      <w:r>
        <w:t xml:space="preserve">99 effects in 9 Acts, none in force longer than</w:t>
      </w:r>
      <w:r>
        <w:t xml:space="preserve"> </w:t>
      </w:r>
      <w:r>
        <w:t xml:space="preserve">21 days against a published three-month target, all from one</w:t>
      </w:r>
      <w:r>
        <w:t xml:space="preserve"> </w:t>
      </w:r>
      <w:r>
        <w:t xml:space="preserve">commencement three weeks before the analysis date. The service meets its own</w:t>
      </w:r>
      <w:r>
        <w:t xml:space="preserve"> </w:t>
      </w:r>
      <w:r>
        <w:t xml:space="preserve">standard without exception. The transferable result is the error: everything</w:t>
      </w:r>
      <w:r>
        <w:t xml:space="preserve"> </w:t>
      </w:r>
      <w:r>
        <w:t xml:space="preserve">needed to read the record correctly is published, but the flag inviting the</w:t>
      </w:r>
      <w:r>
        <w:t xml:space="preserve"> </w:t>
      </w:r>
      <w:r>
        <w:t xml:space="preserve">wrong conclusion is an attribute on each effect while the fact correcting it is</w:t>
      </w:r>
      <w:r>
        <w:t xml:space="preserve"> </w:t>
      </w:r>
      <w:r>
        <w:t xml:space="preserve">a child element inside it, and the publisher’s prose covers all four states</w:t>
      </w:r>
      <w:r>
        <w:t xml:space="preserve"> </w:t>
      </w:r>
      <w:r>
        <w:t xml:space="preserve">with one term. A consumer who parses attributes and checks the documentation is confirmed in a</w:t>
      </w:r>
      <w:r>
        <w:t xml:space="preserve"> </w:t>
      </w:r>
      <w:r>
        <w:t xml:space="preserve">false accusation against a service doing its job. Publishing the distinguishing</w:t>
      </w:r>
      <w:r>
        <w:t xml:space="preserve"> </w:t>
      </w:r>
      <w:r>
        <w:t xml:space="preserve">fact is not enough; its placement decides what most readers conclude.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public data infrastructure; data</w:t>
      </w:r>
      <w:r>
        <w:t xml:space="preserve"> </w:t>
      </w:r>
      <w:r>
        <w:t xml:space="preserve">quality; open government data; metadata; legal informatics; provenance</w:t>
      </w:r>
    </w:p>
    <w:bookmarkEnd w:id="20"/>
    <w:bookmarkStart w:id="22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A companion study measured whether one state’s official legal record was</w:t>
      </w:r>
      <w:r>
        <w:t xml:space="preserve"> </w:t>
      </w:r>
      <w:r>
        <w:t xml:space="preserve">available and internally consistent when someone tried to build on it, and</w:t>
      </w:r>
      <w:r>
        <w:t xml:space="preserve"> </w:t>
      </w:r>
      <w:r>
        <w:t xml:space="preserve">found that neither could be assumed.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It proposed a five-field provenance schema for publishers of</w:t>
      </w:r>
      <w:r>
        <w:t xml:space="preserve"> </w:t>
      </w:r>
      <w:r>
        <w:t xml:space="preserve">official data, and stated a weakness plainly: one jurisdiction, and an argument</w:t>
      </w:r>
      <w:r>
        <w:t xml:space="preserve"> </w:t>
      </w:r>
      <w:r>
        <w:t xml:space="preserve">rather than a demonstration that the method travels.</w:t>
      </w:r>
    </w:p>
    <w:p>
      <w:pPr>
        <w:pStyle w:val="BodyText"/>
      </w:pPr>
      <w:r>
        <w:t xml:space="preserve">This article is the demonstration, and what it demonstrates is not what it set</w:t>
      </w:r>
      <w:r>
        <w:t xml:space="preserve"> </w:t>
      </w:r>
      <w:r>
        <w:t xml:space="preserve">out to. Repeating a measurement elsewhere tests whether a number recurs.</w:t>
      </w:r>
      <w:r>
        <w:t xml:space="preserve"> </w:t>
      </w:r>
      <w:r>
        <w:t xml:space="preserve">Applying an instrument elsewhere tests the instrument. The instrument failed</w:t>
      </w:r>
      <w:r>
        <w:t xml:space="preserve"> </w:t>
      </w:r>
      <w:r>
        <w:t xml:space="preserve">first, in a way worth reporting.</w:t>
      </w:r>
    </w:p>
    <w:p>
      <w:pPr>
        <w:pStyle w:val="BodyText"/>
      </w:pPr>
      <w:r>
        <w:t xml:space="preserve">The United Kingdom’s official legislation service publishes, in each Act’s own</w:t>
      </w:r>
      <w:r>
        <w:t xml:space="preserve"> </w:t>
      </w:r>
      <w:r>
        <w:t xml:space="preserve">metadata, a machine-readable list of amendments it has not applied to the text</w:t>
      </w:r>
      <w:r>
        <w:t xml:space="preserve"> </w:t>
      </w:r>
      <w:r>
        <w:t xml:space="preserve">it displays. Read as a backlog, that list says 14</w:t>
      </w:r>
      <w:r>
        <w:t xml:space="preserve">,</w:t>
      </w:r>
      <w:r>
        <w:t xml:space="preserve">407 amendments across the</w:t>
      </w:r>
      <w:r>
        <w:t xml:space="preserve"> </w:t>
      </w:r>
      <w:r>
        <w:t xml:space="preserve">modern statute book are missing from the law as published — an unusually</w:t>
      </w:r>
      <w:r>
        <w:t xml:space="preserve"> </w:t>
      </w:r>
      <w:r>
        <w:t xml:space="preserve">clean finding, and the one this study first recorded.</w:t>
      </w:r>
    </w:p>
    <w:p>
      <w:pPr>
        <w:pStyle w:val="BodyText"/>
      </w:pPr>
      <w:r>
        <w:t xml:space="preserve">It is wrong by a factor of 131, and it took two corrections</w:t>
      </w:r>
      <w:r>
        <w:t xml:space="preserve"> </w:t>
      </w:r>
      <w:r>
        <w:t xml:space="preserve">rather than one to find out — which is itself part of the argument. Each</w:t>
      </w:r>
      <w:r>
        <w:t xml:space="preserve"> </w:t>
      </w:r>
      <w:r>
        <w:t xml:space="preserve">effect also carries whether the amendment is in force. 13</w:t>
      </w:r>
      <w:r>
        <w:t xml:space="preserve">,</w:t>
      </w:r>
      <w:r>
        <w:t xml:space="preserve">396 of them</w:t>
      </w:r>
      <w:r>
        <w:t xml:space="preserve"> </w:t>
      </w:r>
      <w:r>
        <w:t xml:space="preserve">(93.0 per cent) are prospective: enacted, not commenced, no</w:t>
      </w:r>
      <w:r>
        <w:t xml:space="preserve"> </w:t>
      </w:r>
      <w:r>
        <w:t xml:space="preserve">date set. A further 901 have a commencement date still in the future.</w:t>
      </w:r>
      <w:r>
        <w:t xml:space="preserve"> </w:t>
      </w:r>
      <w:r>
        <w:t xml:space="preserve">The service is right not to apply either — applying an amendment that is not</w:t>
      </w:r>
      <w:r>
        <w:t xml:space="preserve"> </w:t>
      </w:r>
      <w:r>
        <w:t xml:space="preserve">in force would misstate the law. What remains is 99 effects, and</w:t>
      </w:r>
      <w:r>
        <w:t xml:space="preserve"> </w:t>
      </w:r>
      <w:r>
        <w:t xml:space="preserve">none has been in force for more than 21 days against a published</w:t>
      </w:r>
      <w:r>
        <w:t xml:space="preserve"> </w:t>
      </w:r>
      <w:r>
        <w:t xml:space="preserve">target of three months.</w:t>
      </w:r>
    </w:p>
    <w:p>
      <w:pPr>
        <w:pStyle w:val="BodyText"/>
      </w:pPr>
      <w:r>
        <w:t xml:space="preserve">The second of those categories is why one correction was not enough. Excluding</w:t>
      </w:r>
      <w:r>
        <w:t xml:space="preserve"> </w:t>
      </w:r>
      <w:r>
        <w:t xml:space="preserve">the prospective effects is the obvious fix once the in-force field is found, and</w:t>
      </w:r>
      <w:r>
        <w:t xml:space="preserve"> </w:t>
      </w:r>
      <w:r>
        <w:t xml:space="preserve">it still overstates by an order of magnitude: an effect can be non-prospective</w:t>
      </w:r>
      <w:r>
        <w:t xml:space="preserve"> </w:t>
      </w:r>
      <w:r>
        <w:t xml:space="preserve">— its commencement settled — with that commencement fixed for a date that</w:t>
      </w:r>
      <w:r>
        <w:t xml:space="preserve"> </w:t>
      </w:r>
      <w:r>
        <w:t xml:space="preserve">has not arrived. A date set for next spring is no more in force than no date at</w:t>
      </w:r>
      <w:r>
        <w:t xml:space="preserve"> </w:t>
      </w:r>
      <w:r>
        <w:t xml:space="preserve">all. Each stage of this measurement looked correct until the next field was</w:t>
      </w:r>
      <w:r>
        <w:t xml:space="preserve"> </w:t>
      </w:r>
      <w:r>
        <w:t xml:space="preserve">read.</w:t>
      </w:r>
    </w:p>
    <w:p>
      <w:pPr>
        <w:pStyle w:val="BodyText"/>
      </w:pPr>
      <w:r>
        <w:t xml:space="preserve">The finding, then, is the opposite of the one this article was drafted to</w:t>
      </w:r>
      <w:r>
        <w:t xml:space="preserve"> </w:t>
      </w:r>
      <w:r>
        <w:t xml:space="preserve">report: the service meets its own standard without exception. But the more</w:t>
      </w:r>
      <w:r>
        <w:t xml:space="preserve"> </w:t>
      </w:r>
      <w:r>
        <w:t xml:space="preserve">useful result is the error. The distinguishing field is a child element inside</w:t>
      </w:r>
      <w:r>
        <w:t xml:space="preserve"> </w:t>
      </w:r>
      <w:r>
        <w:t xml:space="preserve">each effect; the flag that invites the wrong reading is an attribute on the</w:t>
      </w:r>
      <w:r>
        <w:t xml:space="preserve"> </w:t>
      </w:r>
      <w:r>
        <w:t xml:space="preserve">effect itself, and the publisher’s own prose calls both</w:t>
      </w:r>
      <w:r>
        <w:t xml:space="preserve"> </w:t>
      </w:r>
      <w:r>
        <w:t xml:space="preserve">‘</w:t>
      </w:r>
      <w:r>
        <w:t xml:space="preserve">unapplied effects</w:t>
      </w:r>
      <w:r>
        <w:t xml:space="preserve">’</w:t>
      </w:r>
      <w:r>
        <w:t xml:space="preserve"> </w:t>
      </w:r>
      <w:r>
        <w:t xml:space="preserve">without separating them. A reader who takes the obvious path — parse the</w:t>
      </w:r>
      <w:r>
        <w:t xml:space="preserve"> </w:t>
      </w:r>
      <w:r>
        <w:t xml:space="preserve">attributes, trust the wording — produces a false accusation against a public</w:t>
      </w:r>
      <w:r>
        <w:t xml:space="preserve"> </w:t>
      </w:r>
      <w:r>
        <w:t xml:space="preserve">service that is doing its job, and produces it with every appearance of rigour.</w:t>
      </w:r>
    </w:p>
    <w:p>
      <w:pPr>
        <w:pStyle w:val="BodyText"/>
      </w:pPr>
      <w:r>
        <w:t xml:space="preserve">That is the companion study’s argument arriving from an unexpected direction.</w:t>
      </w:r>
      <w:r>
        <w:t xml:space="preserve"> </w:t>
      </w:r>
      <w:r>
        <w:t xml:space="preserve">That paper asked publishers to ship the strength of the evidence with the text.</w:t>
      </w:r>
      <w:r>
        <w:t xml:space="preserve"> </w:t>
      </w:r>
      <w:r>
        <w:t xml:space="preserve">Here the evidence is shipped, completely and machine-readably, and the default</w:t>
      </w:r>
      <w:r>
        <w:t xml:space="preserve"> </w:t>
      </w:r>
      <w:r>
        <w:t xml:space="preserve">reading of it is still wrong by two orders of magnitude. Publishing the</w:t>
      </w:r>
      <w:r>
        <w:t xml:space="preserve"> </w:t>
      </w:r>
      <w:r>
        <w:t xml:space="preserve">distinguishing fact is not sufficient; where it sits, relative to the fact that</w:t>
      </w:r>
      <w:r>
        <w:t xml:space="preserve"> </w:t>
      </w:r>
      <w:r>
        <w:t xml:space="preserve">invites the error, decides what most readers will conclude.</w:t>
      </w:r>
    </w:p>
    <w:bookmarkEnd w:id="22"/>
    <w:bookmarkStart w:id="27" w:name="related-work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Related work</w:t>
      </w:r>
    </w:p>
    <w:p>
      <w:pPr>
        <w:pStyle w:val="FirstParagraph"/>
      </w:pPr>
      <w:r>
        <w:t xml:space="preserve">Three literatures bear on this article, and it sits in a gap between them.</w:t>
      </w:r>
    </w:p>
    <w:bookmarkStart w:id="23" w:name="data-quality-as-fitness-for-use."/>
    <w:p>
      <w:pPr>
        <w:pStyle w:val="Heading4"/>
      </w:pPr>
      <w:r>
        <w:rPr>
          <w:rStyle w:val="SectionNumber"/>
        </w:rPr>
        <w:t xml:space="preserve">2.0.0.1</w:t>
      </w:r>
      <w:r>
        <w:tab/>
      </w:r>
      <w:r>
        <w:t xml:space="preserve">Data quality as fitness for use.</w:t>
      </w:r>
    </w:p>
    <w:p>
      <w:pPr>
        <w:pStyle w:val="FirstParagraph"/>
      </w:pPr>
      <w:r>
        <w:t xml:space="preserve">The framing that treats quality as</w:t>
      </w:r>
      <w:r>
        <w:t xml:space="preserve"> </w:t>
      </w:r>
      <w:r>
        <w:t xml:space="preserve">a property of use rather than of the artifact goes back to Wang and Strong</w:t>
      </w:r>
      <w:r>
        <w:t xml:space="preserve"> </w:t>
      </w:r>
      <w:r>
        <w:t xml:space="preserve">(1996), whose survey of data consumers found a conception of quality much</w:t>
      </w:r>
      <w:r>
        <w:t xml:space="preserve"> </w:t>
      </w:r>
      <w:r>
        <w:t xml:space="preserve">broader than accuracy, organized into dimensions including believability,</w:t>
      </w:r>
      <w:r>
        <w:t xml:space="preserve"> </w:t>
      </w:r>
      <w:r>
        <w:t xml:space="preserve">interpretability and ease of understanding. That framework anticipates the</w:t>
      </w:r>
      <w:r>
        <w:t xml:space="preserve"> </w:t>
      </w:r>
      <w:r>
        <w:t xml:space="preserve">problem here in one respect and misses it in another. It is right that quality</w:t>
      </w:r>
      <w:r>
        <w:t xml:space="preserve"> </w:t>
      </w:r>
      <w:r>
        <w:t xml:space="preserve">is relative to a consumer; but its dimensions are properties a dataset</w:t>
      </w:r>
      <w:r>
        <w:t xml:space="preserve"> </w:t>
      </w:r>
      <w:r>
        <w:rPr>
          <w:iCs/>
          <w:i/>
        </w:rPr>
        <w:t xml:space="preserve">has</w:t>
      </w:r>
      <w:r>
        <w:t xml:space="preserve">, assessed one at a time. The record examined in this article scores</w:t>
      </w:r>
      <w:r>
        <w:t xml:space="preserve"> </w:t>
      </w:r>
      <w:r>
        <w:t xml:space="preserve">well on every one of them and still produces a wrong answer by default, because</w:t>
      </w:r>
      <w:r>
        <w:t xml:space="preserve"> </w:t>
      </w:r>
      <w:r>
        <w:t xml:space="preserve">the fault is in the relation between two fields rather than in either field.</w:t>
      </w:r>
    </w:p>
    <w:bookmarkEnd w:id="23"/>
    <w:bookmarkStart w:id="24" w:name="X911b5290c2767f94a35108dbb4486a6ce77ff70"/>
    <w:p>
      <w:pPr>
        <w:pStyle w:val="Heading4"/>
      </w:pPr>
      <w:r>
        <w:rPr>
          <w:rStyle w:val="SectionNumber"/>
        </w:rPr>
        <w:t xml:space="preserve">2.0.0.2</w:t>
      </w:r>
      <w:r>
        <w:tab/>
      </w:r>
      <w:r>
        <w:t xml:space="preserve">Open government data and metadata quality.</w:t>
      </w:r>
    </w:p>
    <w:p>
      <w:pPr>
        <w:pStyle w:val="FirstParagraph"/>
      </w:pPr>
      <w:r>
        <w:t xml:space="preserve">The open-data literature</w:t>
      </w:r>
      <w:r>
        <w:t xml:space="preserve"> </w:t>
      </w:r>
      <w:r>
        <w:t xml:space="preserve">has repeatedly identified metadata as the binding constraint on reuse. Janssen et al. (2012) cataloged adoption barriers and argued against a</w:t>
      </w:r>
      <w:r>
        <w:t xml:space="preserve"> </w:t>
      </w:r>
      <w:r>
        <w:t xml:space="preserve">‘</w:t>
      </w:r>
      <w:r>
        <w:t xml:space="preserve">publish and</w:t>
      </w:r>
      <w:r>
        <w:t xml:space="preserve"> </w:t>
      </w:r>
      <w:r>
        <w:t xml:space="preserve">they will come</w:t>
      </w:r>
      <w:r>
        <w:t xml:space="preserve">’</w:t>
      </w:r>
      <w:r>
        <w:t xml:space="preserve"> </w:t>
      </w:r>
      <w:r>
        <w:t xml:space="preserve">model of open data. Neumaier et al. (2016) built the closest methodological</w:t>
      </w:r>
      <w:r>
        <w:t xml:space="preserve"> </w:t>
      </w:r>
      <w:r>
        <w:t xml:space="preserve">antecedent to this study: an automated, repeated assessment of metadata quality</w:t>
      </w:r>
      <w:r>
        <w:t xml:space="preserve"> </w:t>
      </w:r>
      <w:r>
        <w:t xml:space="preserve">across many open data portals, measuring completeness, accuracy and</w:t>
      </w:r>
      <w:r>
        <w:t xml:space="preserve"> </w:t>
      </w:r>
      <w:r>
        <w:t xml:space="preserve">retrievability at scale.</w:t>
      </w:r>
    </w:p>
    <w:p>
      <w:pPr>
        <w:pStyle w:val="BodyText"/>
      </w:pPr>
      <w:r>
        <w:t xml:space="preserve">That work measures whether metadata is present and correct. This article</w:t>
      </w:r>
      <w:r>
        <w:t xml:space="preserve"> </w:t>
      </w:r>
      <w:r>
        <w:t xml:space="preserve">assumes both — the metadata examined here is present, correct, complete and</w:t>
      </w:r>
      <w:r>
        <w:t xml:space="preserve"> </w:t>
      </w:r>
      <w:r>
        <w:t xml:space="preserve">machine-readable — and asks a different question: whether a competent</w:t>
      </w:r>
      <w:r>
        <w:t xml:space="preserve"> </w:t>
      </w:r>
      <w:r>
        <w:t xml:space="preserve">consumer, reading it in the ordinary way, arrives at what it says. The two</w:t>
      </w:r>
      <w:r>
        <w:t xml:space="preserve"> </w:t>
      </w:r>
      <w:r>
        <w:t xml:space="preserve">questions come apart, and the second has no established measure.</w:t>
      </w:r>
    </w:p>
    <w:bookmarkEnd w:id="24"/>
    <w:bookmarkStart w:id="25" w:name="provenance-and-dataset-documentation."/>
    <w:p>
      <w:pPr>
        <w:pStyle w:val="Heading4"/>
      </w:pPr>
      <w:r>
        <w:rPr>
          <w:rStyle w:val="SectionNumber"/>
        </w:rPr>
        <w:t xml:space="preserve">2.0.0.3</w:t>
      </w:r>
      <w:r>
        <w:tab/>
      </w:r>
      <w:r>
        <w:t xml:space="preserve">Provenance and dataset documentation.</w:t>
      </w:r>
    </w:p>
    <w:p>
      <w:pPr>
        <w:pStyle w:val="FirstParagraph"/>
      </w:pPr>
      <w:r>
        <w:t xml:space="preserve">The W3C PROV data model gives</w:t>
      </w:r>
      <w:r>
        <w:t xml:space="preserve"> </w:t>
      </w:r>
      <w:r>
        <w:t xml:space="preserve">a general vocabulary for recording what an artifact was derived from and by</w:t>
      </w:r>
      <w:r>
        <w:t xml:space="preserve"> </w:t>
      </w:r>
      <w:r>
        <w:t xml:space="preserve">what activity (W3C, 2013). Gebru et al. (2021) proposed a</w:t>
      </w:r>
      <w:r>
        <w:t xml:space="preserve"> </w:t>
      </w:r>
      <w:r>
        <w:t xml:space="preserve">documentation practice — a prose record of motivation, composition,</w:t>
      </w:r>
      <w:r>
        <w:t xml:space="preserve"> </w:t>
      </w:r>
      <w:r>
        <w:t xml:space="preserve">collection process and recommended uses — to travel with a dataset and make</w:t>
      </w:r>
      <w:r>
        <w:t xml:space="preserve"> </w:t>
      </w:r>
      <w:r>
        <w:t xml:space="preserve">its limits legible to a later user. Both address</w:t>
      </w:r>
      <w:r>
        <w:t xml:space="preserve"> </w:t>
      </w:r>
      <w:r>
        <w:t xml:space="preserve">the case where the needed information is</w:t>
      </w:r>
      <w:r>
        <w:t xml:space="preserve"> </w:t>
      </w:r>
      <w:r>
        <w:rPr>
          <w:iCs/>
          <w:i/>
        </w:rPr>
        <w:t xml:space="preserve">absent</w:t>
      </w:r>
      <w:r>
        <w:t xml:space="preserve">. Neither addresses the</w:t>
      </w:r>
      <w:r>
        <w:t xml:space="preserve"> </w:t>
      </w:r>
      <w:r>
        <w:t xml:space="preserve">case examined here, where the information is present, structured and</w:t>
      </w:r>
      <w:r>
        <w:t xml:space="preserve"> </w:t>
      </w:r>
      <w:r>
        <w:t xml:space="preserve">authoritative, and the consumer still gets it wrong because of where it sits.</w:t>
      </w:r>
    </w:p>
    <w:bookmarkEnd w:id="25"/>
    <w:bookmarkStart w:id="26" w:name="the-gap."/>
    <w:p>
      <w:pPr>
        <w:pStyle w:val="Heading4"/>
      </w:pPr>
      <w:r>
        <w:rPr>
          <w:rStyle w:val="SectionNumber"/>
        </w:rPr>
        <w:t xml:space="preserve">2.0.0.4</w:t>
      </w:r>
      <w:r>
        <w:tab/>
      </w:r>
      <w:r>
        <w:t xml:space="preserve">The gap.</w:t>
      </w:r>
    </w:p>
    <w:p>
      <w:pPr>
        <w:pStyle w:val="FirstParagraph"/>
      </w:pPr>
      <w:r>
        <w:t xml:space="preserve">Between</w:t>
      </w:r>
      <w:r>
        <w:t xml:space="preserve"> </w:t>
      </w:r>
      <w:r>
        <w:t xml:space="preserve">‘</w:t>
      </w:r>
      <w:r>
        <w:t xml:space="preserve">the publisher did not say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the consumer did</w:t>
      </w:r>
      <w:r>
        <w:t xml:space="preserve"> </w:t>
      </w:r>
      <w:r>
        <w:t xml:space="preserve">not read</w:t>
      </w:r>
      <w:r>
        <w:t xml:space="preserve">’</w:t>
      </w:r>
      <w:r>
        <w:t xml:space="preserve"> </w:t>
      </w:r>
      <w:r>
        <w:t xml:space="preserve">there is a third condition: the publisher said it, in a place and a</w:t>
      </w:r>
      <w:r>
        <w:t xml:space="preserve"> </w:t>
      </w:r>
      <w:r>
        <w:t xml:space="preserve">vocabulary that make the wrong reading the cheap one. This article is an</w:t>
      </w:r>
      <w:r>
        <w:t xml:space="preserve"> </w:t>
      </w:r>
      <w:r>
        <w:t xml:space="preserve">account of that condition, measured on a national statute book, together with</w:t>
      </w:r>
      <w:r>
        <w:t xml:space="preserve"> </w:t>
      </w:r>
      <w:r>
        <w:t xml:space="preserve">four properties by which a schema can be checked for it.</w:t>
      </w:r>
    </w:p>
    <w:bookmarkEnd w:id="26"/>
    <w:bookmarkEnd w:id="27"/>
    <w:bookmarkStart w:id="30" w:name="X058058c53fde5ab8594b8de2931b31a01cdf53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What the service publishes about its own currency</w:t>
      </w:r>
    </w:p>
    <w:p>
      <w:pPr>
        <w:pStyle w:val="FirstParagraph"/>
      </w:pPr>
      <w:r>
        <w:t xml:space="preserve">Two features of</w:t>
      </w:r>
      <w:r>
        <w:t xml:space="preserve"> </w:t>
      </w:r>
      <w:r>
        <w:rPr>
          <w:rStyle w:val="VerbatimChar"/>
        </w:rPr>
        <w:t xml:space="preserve">legislation.gov.uk</w:t>
      </w:r>
      <w:r>
        <w:t xml:space="preserve"> </w:t>
      </w:r>
      <w:r>
        <w:t xml:space="preserve">matter here, and both are the</w:t>
      </w:r>
      <w:r>
        <w:t xml:space="preserve"> </w:t>
      </w:r>
      <w:r>
        <w:t xml:space="preserve">publisher’s own statements rather than this study’s inferences.</w:t>
      </w:r>
    </w:p>
    <w:p>
      <w:pPr>
        <w:pStyle w:val="BodyText"/>
      </w:pPr>
      <w:r>
        <w:t xml:space="preserve">The first is the</w:t>
      </w:r>
      <w:r>
        <w:t xml:space="preserve"> </w:t>
      </w:r>
      <w:r>
        <w:rPr>
          <w:iCs/>
          <w:i/>
        </w:rPr>
        <w:t xml:space="preserve">unapplied effect</w:t>
      </w:r>
      <w:r>
        <w:t xml:space="preserve">. When an amendment has been made to an</w:t>
      </w:r>
      <w:r>
        <w:t xml:space="preserve"> </w:t>
      </w:r>
      <w:r>
        <w:t xml:space="preserve">Act and the revised text has not yet been changed to reflect it, the service</w:t>
      </w:r>
      <w:r>
        <w:t xml:space="preserve"> </w:t>
      </w:r>
      <w:r>
        <w:t xml:space="preserve">records the fact in the Act’s metadata and flags it to readers:</w:t>
      </w:r>
      <w:r>
        <w:t xml:space="preserve"> </w:t>
      </w:r>
      <w:r>
        <w:t xml:space="preserve">‘</w:t>
      </w:r>
      <w:r>
        <w:t xml:space="preserve">If the primary</w:t>
      </w:r>
      <w:r>
        <w:t xml:space="preserve"> </w:t>
      </w:r>
      <w:r>
        <w:t xml:space="preserve">legislation on legislation.gov.uk has any unapplied effects, we flag them in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Changes to Legislation</w:t>
      </w:r>
      <w:r>
        <w:t xml:space="preserve">”</w:t>
      </w:r>
      <w:r>
        <w:t xml:space="preserve"> </w:t>
      </w:r>
      <w:r>
        <w:t xml:space="preserve">banner on the website. Clicking on the banner</w:t>
      </w:r>
      <w:r>
        <w:t xml:space="preserve"> </w:t>
      </w:r>
      <w:r>
        <w:t xml:space="preserve">reveals the outstanding changes.</w:t>
      </w:r>
      <w:r>
        <w:t xml:space="preserve">’</w:t>
      </w:r>
      <w:r>
        <w:rPr>
          <w:rStyle w:val="FootnoteReference"/>
        </w:rPr>
        <w:footnoteReference w:id="28"/>
      </w:r>
      <w:r>
        <w:t xml:space="preserve"> </w:t>
      </w:r>
      <w:r>
        <w:t xml:space="preserve">Each such effect names the amending instrument, the provision affected, and the</w:t>
      </w:r>
      <w:r>
        <w:t xml:space="preserve"> </w:t>
      </w:r>
      <w:r>
        <w:t xml:space="preserve">kind of change.</w:t>
      </w:r>
    </w:p>
    <w:p>
      <w:pPr>
        <w:pStyle w:val="BodyText"/>
      </w:pPr>
      <w:r>
        <w:t xml:space="preserve">The second is a service standard:</w:t>
      </w:r>
      <w:r>
        <w:t xml:space="preserve"> </w:t>
      </w:r>
      <w:r>
        <w:t xml:space="preserve">‘</w:t>
      </w:r>
      <w:r>
        <w:t xml:space="preserve">We aim to incorporate new amendments into</w:t>
      </w:r>
      <w:r>
        <w:t xml:space="preserve"> </w:t>
      </w:r>
      <w:r>
        <w:t xml:space="preserve">the text of the legislation within three months of those amendments coming into</w:t>
      </w:r>
      <w:r>
        <w:t xml:space="preserve"> </w:t>
      </w:r>
      <w:r>
        <w:t xml:space="preserve">force.</w:t>
      </w:r>
      <w:r>
        <w:t xml:space="preserve">’</w:t>
      </w:r>
      <w:r>
        <w:rPr>
          <w:rStyle w:val="FootnoteReference"/>
        </w:rPr>
        <w:footnoteReference w:id="29"/>
      </w:r>
    </w:p>
    <w:p>
      <w:pPr>
        <w:pStyle w:val="BodyText"/>
      </w:pPr>
      <w:r>
        <w:t xml:space="preserve">The standard is what makes compliance measurable rather than a matter of</w:t>
      </w:r>
      <w:r>
        <w:t xml:space="preserve"> </w:t>
      </w:r>
      <w:r>
        <w:t xml:space="preserve">impression, and it also rules something out. A three-month target means the</w:t>
      </w:r>
      <w:r>
        <w:t xml:space="preserve"> </w:t>
      </w:r>
      <w:r>
        <w:t xml:space="preserve">expected steady state is not zero unapplied effects: a queue is the design, not</w:t>
      </w:r>
      <w:r>
        <w:t xml:space="preserve"> </w:t>
      </w:r>
      <w:r>
        <w:t xml:space="preserve">the defect, so the existence of flagged effects establishes nothing on its own.</w:t>
      </w:r>
      <w:r>
        <w:t xml:space="preserve"> </w:t>
      </w:r>
      <w:r>
        <w:t xml:space="preserve">What the standard permits is a direct test — how long has each amendment</w:t>
      </w:r>
      <w:r>
        <w:t xml:space="preserve"> </w:t>
      </w:r>
      <w:r>
        <w:t xml:space="preserve">actually been in force without being applied — and the answer needs the</w:t>
      </w:r>
      <w:r>
        <w:t xml:space="preserve"> </w:t>
      </w:r>
      <w:r>
        <w:t xml:space="preserve">commencement date, which the service publishes for every effect.</w:t>
      </w:r>
    </w:p>
    <w:bookmarkEnd w:id="30"/>
    <w:bookmarkStart w:id="34" w:name="method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Method</w:t>
      </w:r>
    </w:p>
    <w:bookmarkStart w:id="31" w:name="collection."/>
    <w:p>
      <w:pPr>
        <w:pStyle w:val="Heading4"/>
      </w:pPr>
      <w:r>
        <w:rPr>
          <w:rStyle w:val="SectionNumber"/>
        </w:rPr>
        <w:t xml:space="preserve">4.0.0.1</w:t>
      </w:r>
      <w:r>
        <w:tab/>
      </w:r>
      <w:r>
        <w:t xml:space="preserve">Collection.</w:t>
      </w:r>
    </w:p>
    <w:p>
      <w:pPr>
        <w:pStyle w:val="FirstParagraph"/>
      </w:pPr>
      <w:r>
        <w:t xml:space="preserve">Every Public General Act from 1988 to</w:t>
      </w:r>
      <w:r>
        <w:t xml:space="preserve"> </w:t>
      </w:r>
      <w:r>
        <w:t xml:space="preserve">2026 was enumerated from the service’s own year feeds, and each Act’s</w:t>
      </w:r>
      <w:r>
        <w:t xml:space="preserve"> </w:t>
      </w:r>
      <w:r>
        <w:t xml:space="preserve">metadata retrieved from its</w:t>
      </w:r>
      <w:r>
        <w:t xml:space="preserve"> </w:t>
      </w:r>
      <w:r>
        <w:rPr>
          <w:rStyle w:val="VerbatimChar"/>
        </w:rPr>
        <w:t xml:space="preserve">introduction/data.xml</w:t>
      </w:r>
      <w:r>
        <w:t xml:space="preserve"> </w:t>
      </w:r>
      <w:r>
        <w:t xml:space="preserve">endpoint. That</w:t>
      </w:r>
      <w:r>
        <w:t xml:space="preserve"> </w:t>
      </w:r>
      <w:r>
        <w:t xml:space="preserve">endpoint carries the complete unapplied-effects block — verified rather than</w:t>
      </w:r>
      <w:r>
        <w:t xml:space="preserve"> </w:t>
      </w:r>
      <w:r>
        <w:t xml:space="preserve">assumed, by comparing it against the full text and the contents listing for the</w:t>
      </w:r>
      <w:r>
        <w:t xml:space="preserve"> </w:t>
      </w:r>
      <w:r>
        <w:t xml:space="preserve">same Act and finding the same effects in all three — at a fraction of the</w:t>
      </w:r>
      <w:r>
        <w:t xml:space="preserve"> </w:t>
      </w:r>
      <w:r>
        <w:t xml:space="preserve">bytes. The service’s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declares a five-second crawl delay and the collector</w:t>
      </w:r>
      <w:r>
        <w:t xml:space="preserve"> </w:t>
      </w:r>
      <w:r>
        <w:t xml:space="preserve">honours it, which is why a sweep of the statute book takes hours.</w:t>
      </w:r>
    </w:p>
    <w:bookmarkEnd w:id="31"/>
    <w:bookmarkStart w:id="32" w:name="the-schema-populated-at-collection-time."/>
    <w:p>
      <w:pPr>
        <w:pStyle w:val="Heading4"/>
      </w:pPr>
      <w:r>
        <w:rPr>
          <w:rStyle w:val="SectionNumber"/>
        </w:rPr>
        <w:t xml:space="preserve">4.0.0.2</w:t>
      </w:r>
      <w:r>
        <w:tab/>
      </w:r>
      <w:r>
        <w:t xml:space="preserve">The schema, populated at collection time.</w:t>
      </w:r>
    </w:p>
    <w:p>
      <w:pPr>
        <w:pStyle w:val="FirstParagraph"/>
      </w:pPr>
      <w:r>
        <w:t xml:space="preserve">The companion study’s</w:t>
      </w:r>
      <w:r>
        <w:t xml:space="preserve"> </w:t>
      </w:r>
      <w:r>
        <w:t xml:space="preserve">five fields were written for each record as it was retrieved, unchanged from</w:t>
      </w:r>
      <w:r>
        <w:t xml:space="preserve"> </w:t>
      </w:r>
      <w:r>
        <w:t xml:space="preserve">that paper’s definition. This is the point of the exercise rather than</w:t>
      </w:r>
      <w:r>
        <w:t xml:space="preserve"> </w:t>
      </w:r>
      <w:r>
        <w:t xml:space="preserve">decoration: that paper claims the schema costs nothing because a collector that</w:t>
      </w:r>
      <w:r>
        <w:t xml:space="preserve"> </w:t>
      </w:r>
      <w:r>
        <w:t xml:space="preserve">knows how it obtained a document already knows all five values. Populating them</w:t>
      </w:r>
      <w:r>
        <w:t xml:space="preserve"> </w:t>
      </w:r>
      <w:r>
        <w:t xml:space="preserve">prospectively is the only way to find out whether that is true.</w:t>
      </w:r>
    </w:p>
    <w:bookmarkEnd w:id="32"/>
    <w:bookmarkStart w:id="33" w:name="what-is-measured-and-what-is-not."/>
    <w:p>
      <w:pPr>
        <w:pStyle w:val="Heading4"/>
      </w:pPr>
      <w:r>
        <w:rPr>
          <w:rStyle w:val="SectionNumber"/>
        </w:rPr>
        <w:t xml:space="preserve">4.0.0.3</w:t>
      </w:r>
      <w:r>
        <w:tab/>
      </w:r>
      <w:r>
        <w:t xml:space="preserve">What is measured, and what is not.</w:t>
      </w:r>
    </w:p>
    <w:p>
      <w:pPr>
        <w:pStyle w:val="FirstParagraph"/>
      </w:pPr>
      <w:r>
        <w:t xml:space="preserve">The companion study measured two</w:t>
      </w:r>
      <w:r>
        <w:t xml:space="preserve"> </w:t>
      </w:r>
      <w:r>
        <w:t xml:space="preserve">properties: availability and internal consistency. Only the second is compared</w:t>
      </w:r>
      <w:r>
        <w:t xml:space="preserve"> </w:t>
      </w:r>
      <w:r>
        <w:t xml:space="preserve">here, and the reason is structural rather than practical. Four of the schema’s</w:t>
      </w:r>
      <w:r>
        <w:t xml:space="preserve"> </w:t>
      </w:r>
      <w:r>
        <w:t xml:space="preserve">five fields describe the</w:t>
      </w:r>
      <w:r>
        <w:t xml:space="preserve"> </w:t>
      </w:r>
      <w:r>
        <w:rPr>
          <w:iCs/>
          <w:i/>
        </w:rPr>
        <w:t xml:space="preserve">encounter</w:t>
      </w:r>
      <w:r>
        <w:t xml:space="preserve"> </w:t>
      </w:r>
      <w:r>
        <w:t xml:space="preserve">— whether the live source answered</w:t>
      </w:r>
      <w:r>
        <w:t xml:space="preserve"> </w:t>
      </w:r>
      <w:r>
        <w:t xml:space="preserve">this collector, on this network, on this day — and encounters do not compare</w:t>
      </w:r>
      <w:r>
        <w:t xml:space="preserve"> </w:t>
      </w:r>
      <w:r>
        <w:t xml:space="preserve">across collections, because they differ before the records do. No control</w:t>
      </w:r>
      <w:r>
        <w:t xml:space="preserve"> </w:t>
      </w:r>
      <w:r>
        <w:t xml:space="preserve">corrects for that. Availability figures are recorded and published for this</w:t>
      </w:r>
      <w:r>
        <w:t xml:space="preserve"> </w:t>
      </w:r>
      <w:r>
        <w:t xml:space="preserve">collection, and are not set against the companion study’s.</w:t>
      </w:r>
    </w:p>
    <w:p>
      <w:pPr>
        <w:pStyle w:val="BodyText"/>
      </w:pPr>
      <w:r>
        <w:t xml:space="preserve">An unapplied effect has no such problem</w:t>
      </w:r>
      <w:r>
        <w:t xml:space="preserve"> </w:t>
      </w:r>
      <w:r>
        <w:rPr>
          <w:iCs/>
          <w:i/>
        </w:rPr>
        <w:t xml:space="preserve">in principle</w:t>
      </w:r>
      <w:r>
        <w:t xml:space="preserve">: it is a property</w:t>
      </w:r>
      <w:r>
        <w:t xml:space="preserve"> </w:t>
      </w:r>
      <w:r>
        <w:t xml:space="preserve">of the data as published, so any reader, on any network, at any time, can</w:t>
      </w:r>
      <w:r>
        <w:t xml:space="preserve"> </w:t>
      </w:r>
      <w:r>
        <w:t xml:space="preserve">obtain the same count. In practice they will not, and the rest of this article</w:t>
      </w:r>
      <w:r>
        <w:t xml:space="preserve"> </w:t>
      </w:r>
      <w:r>
        <w:t xml:space="preserve">is about why — the count depends on which of the record’s fields the reader</w:t>
      </w:r>
      <w:r>
        <w:t xml:space="preserve"> </w:t>
      </w:r>
      <w:r>
        <w:t xml:space="preserve">consults, and the obvious selection is wrong by two orders of magnitude.</w:t>
      </w:r>
      <w:r>
        <w:t xml:space="preserve"> </w:t>
      </w:r>
      <w:r>
        <w:t xml:space="preserve">Reproducibility of a measure and agreement between measurers are different</w:t>
      </w:r>
      <w:r>
        <w:t xml:space="preserve"> </w:t>
      </w:r>
      <w:r>
        <w:t xml:space="preserve">properties, and only the first is guaranteed here.</w:t>
      </w:r>
    </w:p>
    <w:bookmarkEnd w:id="33"/>
    <w:bookmarkEnd w:id="34"/>
    <w:bookmarkStart w:id="46" w:name="resul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Results</w:t>
      </w:r>
    </w:p>
    <w:bookmarkStart w:id="35" w:name="coverage."/>
    <w:p>
      <w:pPr>
        <w:pStyle w:val="Heading4"/>
      </w:pPr>
      <w:r>
        <w:rPr>
          <w:rStyle w:val="SectionNumber"/>
        </w:rPr>
        <w:t xml:space="preserve">5.0.0.1</w:t>
      </w:r>
      <w:r>
        <w:tab/>
      </w:r>
      <w:r>
        <w:t xml:space="preserve">Coverage.</w:t>
      </w:r>
    </w:p>
    <w:p>
      <w:pPr>
        <w:pStyle w:val="FirstParagraph"/>
      </w:pPr>
      <w:r>
        <w:t xml:space="preserve">1</w:t>
      </w:r>
      <w:r>
        <w:t xml:space="preserve">,</w:t>
      </w:r>
      <w:r>
        <w:t xml:space="preserve">578 Public General Acts from 1988 to</w:t>
      </w:r>
      <w:r>
        <w:t xml:space="preserve"> </w:t>
      </w:r>
      <w:r>
        <w:t xml:space="preserve">2026 were listed and 1</w:t>
      </w:r>
      <w:r>
        <w:t xml:space="preserve">,</w:t>
      </w:r>
      <w:r>
        <w:t xml:space="preserve">578 retrieved; none was lost.</w:t>
      </w:r>
    </w:p>
    <w:bookmarkEnd w:id="35"/>
    <w:bookmarkStart w:id="42" w:name="what-the-flag-contains."/>
    <w:p>
      <w:pPr>
        <w:pStyle w:val="Heading4"/>
      </w:pPr>
      <w:r>
        <w:rPr>
          <w:rStyle w:val="SectionNumber"/>
        </w:rPr>
        <w:t xml:space="preserve">5.0.0.2</w:t>
      </w:r>
      <w:r>
        <w:tab/>
      </w:r>
      <w:r>
        <w:t xml:space="preserve">What the flag contains.</w:t>
      </w:r>
    </w:p>
    <w:p>
      <w:pPr>
        <w:pStyle w:val="FirstParagraph"/>
      </w:pPr>
      <w:r>
        <w:t xml:space="preserve">Of the 14</w:t>
      </w:r>
      <w:r>
        <w:t xml:space="preserve">,</w:t>
      </w:r>
      <w:r>
        <w:t xml:space="preserve">407 effects the service</w:t>
      </w:r>
      <w:r>
        <w:t xml:space="preserve"> </w:t>
      </w:r>
      <w:r>
        <w:t xml:space="preserve">flags as not applied:</w:t>
      </w:r>
    </w:p>
    <w:p>
      <w:pPr>
        <w:pStyle w:val="TableCaption"/>
      </w:pPr>
      <w:r>
        <w:t xml:space="preserve">The same flag, four meanings. Only the last two describe text that</w:t>
      </w:r>
      <w:r>
        <w:t xml:space="preserve"> </w:t>
      </w:r>
      <w:r>
        <w:t xml:space="preserve">does not reflect the law.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he same flag, four meanings. Only the last two describe text that does not reflect the law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Effects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Prospective — enacted, no commencement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  <w:r>
              <w:t xml:space="preserve">,</w:t>
            </w:r>
            <w:r>
              <w:t xml:space="preserve">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Commencement scheduled, date still future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force now, not applied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force, no date recorded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CaptionedFigure"/>
      </w:pPr>
      <w:r>
        <w:drawing>
          <wp:inline>
            <wp:extent cx="5334000" cy="210552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1_all_flagged_effect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four states of a flagged effect, on a linear scale. The scale is</w:t>
      </w:r>
      <w:r>
        <w:t xml:space="preserve"> </w:t>
      </w:r>
      <w:r>
        <w:t xml:space="preserve">linear because the disproportion is the finding: a logarithmic axis would fit</w:t>
      </w:r>
      <w:r>
        <w:t xml:space="preserve"> </w:t>
      </w:r>
      <w:r>
        <w:t xml:space="preserve">all four bars comfortably and remove it.</w:t>
      </w:r>
    </w:p>
    <w:p>
      <w:pPr>
        <w:pStyle w:val="CaptionedFigure"/>
      </w:pPr>
      <w:r>
        <w:drawing>
          <wp:inline>
            <wp:extent cx="5334000" cy="203534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2_excluding_prospectiv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5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effects excluding the prospective majority, where the three</w:t>
      </w:r>
      <w:r>
        <w:t xml:space="preserve"> </w:t>
      </w:r>
      <w:r>
        <w:t xml:space="preserve">remaining categories become legible. Percentages are still of the full</w:t>
      </w:r>
      <w:r>
        <w:t xml:space="preserve"> </w:t>
      </w:r>
      <w:r>
        <w:t xml:space="preserve">population, so the two figures can be read against each other.</w:t>
      </w:r>
    </w:p>
    <w:bookmarkEnd w:id="42"/>
    <w:bookmarkStart w:id="43" w:name="the-measure-that-matters."/>
    <w:p>
      <w:pPr>
        <w:pStyle w:val="Heading4"/>
      </w:pPr>
      <w:r>
        <w:rPr>
          <w:rStyle w:val="SectionNumber"/>
        </w:rPr>
        <w:t xml:space="preserve">5.0.0.3</w:t>
      </w:r>
      <w:r>
        <w:tab/>
      </w:r>
      <w:r>
        <w:t xml:space="preserve">The measure that matters.</w:t>
      </w:r>
    </w:p>
    <w:p>
      <w:pPr>
        <w:pStyle w:val="FirstParagraph"/>
      </w:pPr>
      <w:r>
        <w:t xml:space="preserve">9 Acts of 1</w:t>
      </w:r>
      <w:r>
        <w:t xml:space="preserve">,</w:t>
      </w:r>
      <w:r>
        <w:t xml:space="preserve">578</w:t>
      </w:r>
      <w:r>
        <w:t xml:space="preserve"> </w:t>
      </w:r>
      <w:r>
        <w:t xml:space="preserve">— 0.6 per cent — display text that does not reflect the</w:t>
      </w:r>
      <w:r>
        <w:t xml:space="preserve"> </w:t>
      </w:r>
      <w:r>
        <w:t xml:space="preserve">law in force, across 77 distinct provisions. Against a body of</w:t>
      </w:r>
      <w:r>
        <w:t xml:space="preserve"> </w:t>
      </w:r>
      <w:r>
        <w:t xml:space="preserve">101</w:t>
      </w:r>
      <w:r>
        <w:t xml:space="preserve">,</w:t>
      </w:r>
      <w:r>
        <w:t xml:space="preserve">711 paragraphs, that is 0.8 affected</w:t>
      </w:r>
      <w:r>
        <w:t xml:space="preserve"> </w:t>
      </w:r>
      <w:r>
        <w:t xml:space="preserve">provisions per thousand.</w:t>
      </w:r>
    </w:p>
    <w:bookmarkEnd w:id="43"/>
    <w:bookmarkStart w:id="45" w:name="Xd5d7d1a5953bc7008aa24a0501ac320ded3aa74"/>
    <w:p>
      <w:pPr>
        <w:pStyle w:val="Heading4"/>
      </w:pPr>
      <w:r>
        <w:rPr>
          <w:rStyle w:val="SectionNumber"/>
        </w:rPr>
        <w:t xml:space="preserve">5.0.0.4</w:t>
      </w:r>
      <w:r>
        <w:tab/>
      </w:r>
      <w:r>
        <w:t xml:space="preserve">Compliance is total, and concentrated in one event.</w:t>
      </w:r>
    </w:p>
    <w:p>
      <w:pPr>
        <w:pStyle w:val="FirstParagraph"/>
      </w:pPr>
      <w:r>
        <w:t xml:space="preserve">The service</w:t>
      </w:r>
      <w:r>
        <w:t xml:space="preserve"> </w:t>
      </w:r>
      <w:r>
        <w:t xml:space="preserve">undertakes to incorporate amendments within three months of their coming into</w:t>
      </w:r>
      <w:r>
        <w:t xml:space="preserve"> </w:t>
      </w:r>
      <w:r>
        <w:t xml:space="preserve">force. 0 effects exceed that. The longest any amendment in the</w:t>
      </w:r>
      <w:r>
        <w:t xml:space="preserve"> </w:t>
      </w:r>
      <w:r>
        <w:t xml:space="preserve">modern statute book has been in force without being applied is 21</w:t>
      </w:r>
      <w:r>
        <w:t xml:space="preserve"> </w:t>
      </w:r>
      <w:r>
        <w:t xml:space="preserve">days.</w:t>
      </w:r>
    </w:p>
    <w:p>
      <w:pPr>
        <w:pStyle w:val="BodyText"/>
      </w:pPr>
      <w:r>
        <w:t xml:space="preserve">The dated in-force effects are not spread across the period at all. All</w:t>
      </w:r>
      <w:r>
        <w:t xml:space="preserve"> </w:t>
      </w:r>
      <w:r>
        <w:t xml:space="preserve">99 came into force on the same day, three weeks before the analysis</w:t>
      </w:r>
      <w:r>
        <w:t xml:space="preserve"> </w:t>
      </w:r>
      <w:r>
        <w:t xml:space="preserve">date, and all belong to two related instruments: the Pension Schemes Act 2021</w:t>
      </w:r>
      <w:r>
        <w:t xml:space="preserve"> </w:t>
      </w:r>
      <w:r>
        <w:t xml:space="preserve">and the Pension Schemes (Northern Ireland) Act 1993.</w:t>
      </w:r>
      <w:r>
        <w:rPr>
          <w:rStyle w:val="FootnoteReference"/>
        </w:rPr>
        <w:footnoteReference w:id="44"/>
      </w:r>
      <w:r>
        <w:t xml:space="preserve"> </w:t>
      </w:r>
      <w:r>
        <w:t xml:space="preserve">The entire population of out-of-date text in the modern UK statute</w:t>
      </w:r>
      <w:r>
        <w:t xml:space="preserve"> </w:t>
      </w:r>
      <w:r>
        <w:t xml:space="preserve">book is one commencement, three weeks old.</w:t>
      </w:r>
    </w:p>
    <w:p>
      <w:pPr>
        <w:pStyle w:val="BodyText"/>
      </w:pPr>
      <w:r>
        <w:t xml:space="preserve">That is why this article carries one figure and not two. A distribution of</w:t>
      </w:r>
      <w:r>
        <w:t xml:space="preserve"> </w:t>
      </w:r>
      <w:r>
        <w:t xml:space="preserve">99 identical values is not a chart.</w:t>
      </w:r>
    </w:p>
    <w:bookmarkEnd w:id="45"/>
    <w:bookmarkEnd w:id="46"/>
    <w:bookmarkStart w:id="47" w:name="availability-recorded-and-not-compared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Availability, recorded and not compared</w:t>
      </w:r>
    </w:p>
    <w:p>
      <w:pPr>
        <w:pStyle w:val="FirstParagraph"/>
      </w:pPr>
      <w:r>
        <w:t xml:space="preserve">The companion study’s headline measures were about availability: whether the</w:t>
      </w:r>
      <w:r>
        <w:t xml:space="preserve"> </w:t>
      </w:r>
      <w:r>
        <w:t xml:space="preserve">official source answered at all. This collection recorded the same measures and</w:t>
      </w:r>
      <w:r>
        <w:t xml:space="preserve"> </w:t>
      </w:r>
      <w:r>
        <w:t xml:space="preserve">does not set them against that study’s, for a reason that is a finding about</w:t>
      </w:r>
      <w:r>
        <w:t xml:space="preserve"> </w:t>
      </w:r>
      <w:r>
        <w:t xml:space="preserve">the schema rather than a limitation of the data.</w:t>
      </w:r>
    </w:p>
    <w:p>
      <w:pPr>
        <w:pStyle w:val="BodyText"/>
      </w:pPr>
      <w:r>
        <w:t xml:space="preserve">Of 1</w:t>
      </w:r>
      <w:r>
        <w:t xml:space="preserve">,</w:t>
      </w:r>
      <w:r>
        <w:t xml:space="preserve">578 Acts listed, 1</w:t>
      </w:r>
      <w:r>
        <w:t xml:space="preserve">,</w:t>
      </w:r>
      <w:r>
        <w:t xml:space="preserve">578 were retrieved. Retrieval</w:t>
      </w:r>
      <w:r>
        <w:t xml:space="preserve"> </w:t>
      </w:r>
      <w:r>
        <w:t xml:space="preserve">failures during collection were recorded rather than retried away while</w:t>
      </w:r>
      <w:r>
        <w:t xml:space="preserve"> </w:t>
      </w:r>
      <w:r>
        <w:t xml:space="preserve">availability was still in scope; a second pass over them recovered every one,</w:t>
      </w:r>
      <w:r>
        <w:t xml:space="preserve"> </w:t>
      </w:r>
      <w:r>
        <w:t xml:space="preserve">each in under a second, and both attempts are kept in the record. Successful</w:t>
      </w:r>
      <w:r>
        <w:t xml:space="preserve"> </w:t>
      </w:r>
      <w:r>
        <w:t xml:space="preserve">responses arrived in under two seconds throughout. Every failure was a</w:t>
      </w:r>
      <w:r>
        <w:t xml:space="preserve"> </w:t>
      </w:r>
      <w:r>
        <w:t xml:space="preserve">connection that produced no bytes and then expired.</w:t>
      </w:r>
    </w:p>
    <w:p>
      <w:pPr>
        <w:pStyle w:val="BodyText"/>
      </w:pPr>
      <w:r>
        <w:t xml:space="preserve">Those figures describe this collector, on this network, over this period. They</w:t>
      </w:r>
      <w:r>
        <w:t xml:space="preserve"> </w:t>
      </w:r>
      <w:r>
        <w:t xml:space="preserve">do not describe</w:t>
      </w:r>
      <w:r>
        <w:t xml:space="preserve"> </w:t>
      </w:r>
      <w:r>
        <w:rPr>
          <w:rStyle w:val="VerbatimChar"/>
        </w:rPr>
        <w:t xml:space="preserve">legislation.gov.uk</w:t>
      </w:r>
      <w:r>
        <w:t xml:space="preserve">, and they cannot be compared with a</w:t>
      </w:r>
      <w:r>
        <w:t xml:space="preserve"> </w:t>
      </w:r>
      <w:r>
        <w:t xml:space="preserve">collection made from a different network at a different time. The companion</w:t>
      </w:r>
      <w:r>
        <w:t xml:space="preserve"> </w:t>
      </w:r>
      <w:r>
        <w:t xml:space="preserve">study’s Saudi measurements were taken from the author’s own connection, over an</w:t>
      </w:r>
      <w:r>
        <w:t xml:space="preserve"> </w:t>
      </w:r>
      <w:r>
        <w:t xml:space="preserve">earlier period, against portals whose behavior has since changed — and that</w:t>
      </w:r>
      <w:r>
        <w:t xml:space="preserve"> </w:t>
      </w:r>
      <w:r>
        <w:t xml:space="preserve">measurement cannot be repeated, which is precisely the argument that study</w:t>
      </w:r>
      <w:r>
        <w:t xml:space="preserve"> </w:t>
      </w:r>
      <w:r>
        <w:t xml:space="preserve">makes about contemporaneous evidence.</w:t>
      </w:r>
    </w:p>
    <w:p>
      <w:pPr>
        <w:pStyle w:val="BodyText"/>
      </w:pPr>
      <w:r>
        <w:t xml:space="preserve">A control for the network would address half of that and leave the period</w:t>
      </w:r>
      <w:r>
        <w:t xml:space="preserve"> </w:t>
      </w:r>
      <w:r>
        <w:t xml:space="preserve">untouched. The comparison is therefore not attempted. What is reported instead</w:t>
      </w:r>
      <w:r>
        <w:t xml:space="preserve"> </w:t>
      </w:r>
      <w:r>
        <w:t xml:space="preserve">is the structural reason it cannot be, developed in</w:t>
      </w:r>
      <w:r>
        <w:t xml:space="preserve"> </w:t>
      </w:r>
      <w:r>
        <w:t xml:space="preserve">section </w:t>
      </w:r>
      <w:hyperlink w:anchor="sec:schema">
        <w:r>
          <w:rPr>
            <w:rStyle w:val="Hyperlink"/>
          </w:rPr>
          <w:t xml:space="preserve">10</w:t>
        </w:r>
      </w:hyperlink>
      <w:r>
        <w:t xml:space="preserve">: four of the schema’s five fields describe the</w:t>
      </w:r>
      <w:r>
        <w:t xml:space="preserve"> </w:t>
      </w:r>
      <w:r>
        <w:t xml:space="preserve">encounter rather than the record, and encounters differ before records do.</w:t>
      </w:r>
    </w:p>
    <w:bookmarkEnd w:id="47"/>
    <w:bookmarkStart w:id="48" w:name="reproducibility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Reproducibility</w:t>
      </w:r>
    </w:p>
    <w:p>
      <w:pPr>
        <w:pStyle w:val="FirstParagraph"/>
      </w:pPr>
      <w:r>
        <w:t xml:space="preserve">Every number in this article is produced by scripts published with it, and the</w:t>
      </w:r>
      <w:r>
        <w:t xml:space="preserve"> </w:t>
      </w:r>
      <w:r>
        <w:t xml:space="preserve">article contains no typed figure: the manuscript source carries macros, and the</w:t>
      </w:r>
      <w:r>
        <w:t xml:space="preserve"> </w:t>
      </w:r>
      <w:r>
        <w:t xml:space="preserve">macros are regenerated from the analysis results before each compilation. A</w:t>
      </w:r>
      <w:r>
        <w:t xml:space="preserve"> </w:t>
      </w:r>
      <w:r>
        <w:t xml:space="preserve">figure in the prose therefore cannot drift from the figure in the data, because</w:t>
      </w:r>
      <w:r>
        <w:t xml:space="preserve"> </w:t>
      </w:r>
      <w:r>
        <w:t xml:space="preserve">only one copy of it exists. A separate check refuses to compile a manuscript</w:t>
      </w:r>
      <w:r>
        <w:t xml:space="preserve"> </w:t>
      </w:r>
      <w:r>
        <w:t xml:space="preserve">that types a number the analysis owns.</w:t>
      </w:r>
    </w:p>
    <w:p>
      <w:pPr>
        <w:pStyle w:val="BodyText"/>
      </w:pPr>
      <w:r>
        <w:t xml:space="preserve">The analysis is verified against a second implementation written to share no</w:t>
      </w:r>
      <w:r>
        <w:t xml:space="preserve"> </w:t>
      </w:r>
      <w:r>
        <w:t xml:space="preserve">code with it, recounting the headline figures from the raw collection by the</w:t>
      </w:r>
      <w:r>
        <w:t xml:space="preserve"> </w:t>
      </w:r>
      <w:r>
        <w:t xml:space="preserve">most direct route available. That check is reported here with a caveat earned</w:t>
      </w:r>
      <w:r>
        <w:t xml:space="preserve"> </w:t>
      </w:r>
      <w:r>
        <w:t xml:space="preserve">during this study: it agreed with the analysis at every stage, including the</w:t>
      </w:r>
      <w:r>
        <w:t xml:space="preserve"> </w:t>
      </w:r>
      <w:r>
        <w:t xml:space="preserve">two that were wrong. Two implementations of the same definition agree by</w:t>
      </w:r>
      <w:r>
        <w:t xml:space="preserve"> </w:t>
      </w:r>
      <w:r>
        <w:t xml:space="preserve">construction. Such a check detects arithmetic and bookkeeping faults and cannot</w:t>
      </w:r>
      <w:r>
        <w:t xml:space="preserve"> </w:t>
      </w:r>
      <w:r>
        <w:t xml:space="preserve">detect a mistaken definition, which is the class of fault that actually</w:t>
      </w:r>
      <w:r>
        <w:t xml:space="preserve"> </w:t>
      </w:r>
      <w:r>
        <w:t xml:space="preserve">threatened this paper.</w:t>
      </w:r>
    </w:p>
    <w:p>
      <w:pPr>
        <w:pStyle w:val="BodyText"/>
      </w:pPr>
      <w:r>
        <w:t xml:space="preserve">The collection is reproducible in the ordinary sense — the collector is</w:t>
      </w:r>
      <w:r>
        <w:t xml:space="preserve"> </w:t>
      </w:r>
      <w:r>
        <w:t xml:space="preserve">published, the endpoints are stable, and a year already gathered is skipped so</w:t>
      </w:r>
      <w:r>
        <w:t xml:space="preserve"> </w:t>
      </w:r>
      <w:r>
        <w:t xml:space="preserve">a sweep can resume — but it is a snapshot. The service revises its records</w:t>
      </w:r>
      <w:r>
        <w:t xml:space="preserve"> </w:t>
      </w:r>
      <w:r>
        <w:t xml:space="preserve">continuously;</w:t>
      </w:r>
      <w:r>
        <w:t xml:space="preserve"> </w:t>
      </w:r>
      <w:r>
        <w:rPr>
          <w:rStyle w:val="VerbatimChar"/>
        </w:rPr>
        <w:t xml:space="preserve">dc:modified</w:t>
      </w:r>
      <w:r>
        <w:t xml:space="preserve"> </w:t>
      </w:r>
      <w:r>
        <w:t xml:space="preserve">on the affected Acts shows revisions within</w:t>
      </w:r>
      <w:r>
        <w:t xml:space="preserve"> </w:t>
      </w:r>
      <w:r>
        <w:t xml:space="preserve">weeks of the analysis date. A collection taken later will differ, and the</w:t>
      </w:r>
      <w:r>
        <w:t xml:space="preserve"> </w:t>
      </w:r>
      <w:r>
        <w:t xml:space="preserve">figures here are stamped with the date they describe.</w:t>
      </w:r>
    </w:p>
    <w:bookmarkEnd w:id="48"/>
    <w:bookmarkStart w:id="53" w:name="three-measurements-of-the-same-thing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Three measurements of the same thing</w:t>
      </w:r>
    </w:p>
    <w:p>
      <w:pPr>
        <w:pStyle w:val="FirstParagraph"/>
      </w:pPr>
      <w:r>
        <w:t xml:space="preserve">The measure reported above was reached in three stages, and the two discarded</w:t>
      </w:r>
      <w:r>
        <w:t xml:space="preserve"> </w:t>
      </w:r>
      <w:r>
        <w:t xml:space="preserve">stages are more instructive than the surviving one. Each was defensible on the</w:t>
      </w:r>
      <w:r>
        <w:t xml:space="preserve"> </w:t>
      </w:r>
      <w:r>
        <w:t xml:space="preserve">evidence available when it was made, each produced a number that survived</w:t>
      </w:r>
      <w:r>
        <w:t xml:space="preserve"> </w:t>
      </w:r>
      <w:r>
        <w:t xml:space="preserve">internal checking, and each was wrong.</w:t>
      </w:r>
    </w:p>
    <w:bookmarkStart w:id="49" w:name="first-the-flag-alone."/>
    <w:p>
      <w:pPr>
        <w:pStyle w:val="Heading4"/>
      </w:pPr>
      <w:r>
        <w:rPr>
          <w:rStyle w:val="SectionNumber"/>
        </w:rPr>
        <w:t xml:space="preserve">8.0.0.1</w:t>
      </w:r>
      <w:r>
        <w:tab/>
      </w:r>
      <w:r>
        <w:t xml:space="preserve">First: the flag alone.</w:t>
      </w:r>
    </w:p>
    <w:p>
      <w:pPr>
        <w:pStyle w:val="FirstParagraph"/>
      </w:pPr>
      <w:r>
        <w:rPr>
          <w:rStyle w:val="VerbatimChar"/>
        </w:rPr>
        <w:t xml:space="preserve">RequiresApplied="true"</w:t>
      </w:r>
      <w:r>
        <w:t xml:space="preserve"> </w:t>
      </w:r>
      <w:r>
        <w:t xml:space="preserve">is an</w:t>
      </w:r>
      <w:r>
        <w:t xml:space="preserve"> </w:t>
      </w:r>
      <w:r>
        <w:t xml:space="preserve">attribute on each effect. Read as</w:t>
      </w:r>
      <w:r>
        <w:t xml:space="preserve"> </w:t>
      </w:r>
      <w:r>
        <w:t xml:space="preserve">‘</w:t>
      </w:r>
      <w:r>
        <w:t xml:space="preserve">this amendment should be in the text and is</w:t>
      </w:r>
      <w:r>
        <w:t xml:space="preserve"> </w:t>
      </w:r>
      <w:r>
        <w:t xml:space="preserve">not</w:t>
      </w:r>
      <w:r>
        <w:t xml:space="preserve">’</w:t>
      </w:r>
      <w:r>
        <w:t xml:space="preserve">, it gives 14</w:t>
      </w:r>
      <w:r>
        <w:t xml:space="preserve">,</w:t>
      </w:r>
      <w:r>
        <w:t xml:space="preserve">407 effects. That reading was tested in the two ways</w:t>
      </w:r>
      <w:r>
        <w:t xml:space="preserve"> </w:t>
      </w:r>
      <w:r>
        <w:t xml:space="preserve">available without further parsing. It was checked against the publisher’s own</w:t>
      </w:r>
      <w:r>
        <w:t xml:space="preserve"> </w:t>
      </w:r>
      <w:r>
        <w:t xml:space="preserve">description, which speaks of flagging</w:t>
      </w:r>
      <w:r>
        <w:t xml:space="preserve"> </w:t>
      </w:r>
      <w:r>
        <w:t xml:space="preserve">‘</w:t>
      </w:r>
      <w:r>
        <w:t xml:space="preserve">unapplied effects</w:t>
      </w:r>
      <w:r>
        <w:t xml:space="preserve">’</w:t>
      </w:r>
      <w:r>
        <w:t xml:space="preserve"> </w:t>
      </w:r>
      <w:r>
        <w:t xml:space="preserve">and does not</w:t>
      </w:r>
      <w:r>
        <w:t xml:space="preserve"> </w:t>
      </w:r>
      <w:r>
        <w:t xml:space="preserve">distinguish states beneath that phrase. And it was checked against an</w:t>
      </w:r>
      <w:r>
        <w:t xml:space="preserve"> </w:t>
      </w:r>
      <w:r>
        <w:t xml:space="preserve">independent recount, written to share no code with the analysis, which agreed</w:t>
      </w:r>
      <w:r>
        <w:t xml:space="preserve"> </w:t>
      </w:r>
      <w:r>
        <w:t xml:space="preserve">on every figure.</w:t>
      </w:r>
    </w:p>
    <w:p>
      <w:pPr>
        <w:pStyle w:val="BodyText"/>
      </w:pPr>
      <w:r>
        <w:t xml:space="preserve">Neither check could have caught the error. The documentation’s wording is true</w:t>
      </w:r>
      <w:r>
        <w:t xml:space="preserve"> </w:t>
      </w:r>
      <w:r>
        <w:t xml:space="preserve">of all four states, so consulting it confirms any of them. The independent</w:t>
      </w:r>
      <w:r>
        <w:t xml:space="preserve"> </w:t>
      </w:r>
      <w:r>
        <w:t xml:space="preserve">recount counted the same wrong thing by a different route, which is what an</w:t>
      </w:r>
      <w:r>
        <w:t xml:space="preserve"> </w:t>
      </w:r>
      <w:r>
        <w:t xml:space="preserve">independent implementation of a wrong definition does. Agreement between two</w:t>
      </w:r>
      <w:r>
        <w:t xml:space="preserve"> </w:t>
      </w:r>
      <w:r>
        <w:t xml:space="preserve">implementations tests the implementations, not the definition.</w:t>
      </w:r>
    </w:p>
    <w:bookmarkEnd w:id="49"/>
    <w:bookmarkStart w:id="50" w:name="X7cbf6dd4d6dc0998b7afc3469111e60b5c52e97"/>
    <w:p>
      <w:pPr>
        <w:pStyle w:val="Heading4"/>
      </w:pPr>
      <w:r>
        <w:rPr>
          <w:rStyle w:val="SectionNumber"/>
        </w:rPr>
        <w:t xml:space="preserve">8.0.0.2</w:t>
      </w:r>
      <w:r>
        <w:tab/>
      </w:r>
      <w:r>
        <w:t xml:space="preserve">Second: excluding the prospective effects.</w:t>
      </w:r>
    </w:p>
    <w:p>
      <w:pPr>
        <w:pStyle w:val="FirstParagraph"/>
      </w:pPr>
      <w:r>
        <w:rPr>
          <w:rStyle w:val="VerbatimChar"/>
        </w:rPr>
        <w:t xml:space="preserve">ukm:InForce</w:t>
      </w:r>
      <w:r>
        <w:t xml:space="preserve"> </w:t>
      </w:r>
      <w:r>
        <w:t xml:space="preserve">is</w:t>
      </w:r>
      <w:r>
        <w:t xml:space="preserve"> </w:t>
      </w:r>
      <w:r>
        <w:t xml:space="preserve">a child element inside each effect, invisible to an attribute-level parse.</w:t>
      </w:r>
      <w:r>
        <w:t xml:space="preserve"> </w:t>
      </w:r>
      <w:r>
        <w:t xml:space="preserve">Reading it and excluding</w:t>
      </w:r>
      <w:r>
        <w:t xml:space="preserve"> </w:t>
      </w:r>
      <w:r>
        <w:rPr>
          <w:rStyle w:val="VerbatimChar"/>
        </w:rPr>
        <w:t xml:space="preserve">Prospective="true"</w:t>
      </w:r>
      <w:r>
        <w:t xml:space="preserve"> </w:t>
      </w:r>
      <w:r>
        <w:t xml:space="preserve">removes 13</w:t>
      </w:r>
      <w:r>
        <w:t xml:space="preserve">,</w:t>
      </w:r>
      <w:r>
        <w:t xml:space="preserve">396</w:t>
      </w:r>
      <w:r>
        <w:t xml:space="preserve"> </w:t>
      </w:r>
      <w:r>
        <w:t xml:space="preserve">effects and leaves 1</w:t>
      </w:r>
      <w:r>
        <w:t xml:space="preserve">,</w:t>
      </w:r>
      <w:r>
        <w:t xml:space="preserve">011. This is the obvious correction, and it</w:t>
      </w:r>
      <w:r>
        <w:t xml:space="preserve"> </w:t>
      </w:r>
      <w:r>
        <w:t xml:space="preserve">is the one most consumers who discover the field would make.</w:t>
      </w:r>
    </w:p>
    <w:p>
      <w:pPr>
        <w:pStyle w:val="BodyText"/>
      </w:pPr>
      <w:r>
        <w:t xml:space="preserve">It still overstates by an order of magnitude. An effect can be</w:t>
      </w:r>
      <w:r>
        <w:t xml:space="preserve"> </w:t>
      </w:r>
      <w:r>
        <w:t xml:space="preserve">non-prospective — its commencement settled — with the commencement date</w:t>
      </w:r>
      <w:r>
        <w:t xml:space="preserve"> </w:t>
      </w:r>
      <w:r>
        <w:t xml:space="preserve">itself still in the future. 901 effects are in exactly that position.</w:t>
      </w:r>
      <w:r>
        <w:t xml:space="preserve"> </w:t>
      </w:r>
      <w:r>
        <w:t xml:space="preserve">The field that distinguishes them is not a different element but a different</w:t>
      </w:r>
      <w:r>
        <w:t xml:space="preserve"> </w:t>
      </w:r>
      <w:r>
        <w:t xml:space="preserve">attribute of the same one, and its meaning depends on a comparison with the</w:t>
      </w:r>
      <w:r>
        <w:t xml:space="preserve"> </w:t>
      </w:r>
      <w:r>
        <w:t xml:space="preserve">date of reading.</w:t>
      </w:r>
    </w:p>
    <w:bookmarkEnd w:id="50"/>
    <w:bookmarkStart w:id="51" w:name="X9e5b055219fcdce8d7fbf4a3ffd81f33f203be7"/>
    <w:p>
      <w:pPr>
        <w:pStyle w:val="Heading4"/>
      </w:pPr>
      <w:r>
        <w:rPr>
          <w:rStyle w:val="SectionNumber"/>
        </w:rPr>
        <w:t xml:space="preserve">8.0.0.3</w:t>
      </w:r>
      <w:r>
        <w:tab/>
      </w:r>
      <w:r>
        <w:t xml:space="preserve">Third: comparing the commencement date with the present.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the measure reported above: 110 effects in 9 Acts.</w:t>
      </w:r>
    </w:p>
    <w:bookmarkEnd w:id="51"/>
    <w:bookmarkStart w:id="52" w:name="what-the-sequence-shows."/>
    <w:p>
      <w:pPr>
        <w:pStyle w:val="Heading4"/>
      </w:pPr>
      <w:r>
        <w:rPr>
          <w:rStyle w:val="SectionNumber"/>
        </w:rPr>
        <w:t xml:space="preserve">8.0.0.4</w:t>
      </w:r>
      <w:r>
        <w:tab/>
      </w:r>
      <w:r>
        <w:t xml:space="preserve">What the sequence shows.</w:t>
      </w:r>
    </w:p>
    <w:p>
      <w:pPr>
        <w:pStyle w:val="FirstParagraph"/>
      </w:pPr>
      <w:r>
        <w:t xml:space="preserve">Each stage required reading one level</w:t>
      </w:r>
      <w:r>
        <w:t xml:space="preserve"> </w:t>
      </w:r>
      <w:r>
        <w:t xml:space="preserve">deeper into the same response, and at each stage the previous answer looked</w:t>
      </w:r>
      <w:r>
        <w:t xml:space="preserve"> </w:t>
      </w:r>
      <w:r>
        <w:t xml:space="preserve">complete. There was no error message, no missing field, no malformed record —</w:t>
      </w:r>
      <w:r>
        <w:t xml:space="preserve"> </w:t>
      </w:r>
      <w:r>
        <w:t xml:space="preserve">the data was correct and completely published throughout. What changed was how</w:t>
      </w:r>
      <w:r>
        <w:t xml:space="preserve"> </w:t>
      </w:r>
      <w:r>
        <w:t xml:space="preserve">much of it was consulted.</w:t>
      </w:r>
    </w:p>
    <w:p>
      <w:pPr>
        <w:pStyle w:val="BodyText"/>
      </w:pPr>
      <w:r>
        <w:t xml:space="preserve">This is the difference between a record being</w:t>
      </w:r>
      <w:r>
        <w:t xml:space="preserve"> </w:t>
      </w:r>
      <w:r>
        <w:rPr>
          <w:iCs/>
          <w:i/>
        </w:rPr>
        <w:t xml:space="preserve">available</w:t>
      </w:r>
      <w:r>
        <w:t xml:space="preserve"> </w:t>
      </w:r>
      <w:r>
        <w:t xml:space="preserve">and a record</w:t>
      </w:r>
      <w:r>
        <w:t xml:space="preserve"> </w:t>
      </w:r>
      <w:r>
        <w:t xml:space="preserve">being</w:t>
      </w:r>
      <w:r>
        <w:t xml:space="preserve"> </w:t>
      </w:r>
      <w:r>
        <w:rPr>
          <w:iCs/>
          <w:i/>
        </w:rPr>
        <w:t xml:space="preserve">read correctly</w:t>
      </w:r>
      <w:r>
        <w:t xml:space="preserve">, and it is not addressed by any of the measures</w:t>
      </w:r>
      <w:r>
        <w:t xml:space="preserve"> </w:t>
      </w:r>
      <w:r>
        <w:t xml:space="preserve">usually proposed for open data quality. Completeness, timeliness, accuracy and</w:t>
      </w:r>
      <w:r>
        <w:t xml:space="preserve"> </w:t>
      </w:r>
      <w:r>
        <w:t xml:space="preserve">machine-readability were all satisfied at every stage. A dataset can score</w:t>
      </w:r>
      <w:r>
        <w:t xml:space="preserve"> </w:t>
      </w:r>
      <w:r>
        <w:t xml:space="preserve">perfectly on each and still have a default reading that is wrong by two orders</w:t>
      </w:r>
      <w:r>
        <w:t xml:space="preserve"> </w:t>
      </w:r>
      <w:r>
        <w:t xml:space="preserve">of magnitude.</w:t>
      </w:r>
    </w:p>
    <w:bookmarkEnd w:id="52"/>
    <w:bookmarkEnd w:id="53"/>
    <w:bookmarkStart w:id="58" w:name="what-made-this-record-misreadabl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What made this record misreadable</w:t>
      </w:r>
    </w:p>
    <w:p>
      <w:pPr>
        <w:pStyle w:val="FirstParagraph"/>
      </w:pPr>
      <w:r>
        <w:t xml:space="preserve">The failure here is structural rather than accidental, and the structure can be</w:t>
      </w:r>
      <w:r>
        <w:t xml:space="preserve"> </w:t>
      </w:r>
      <w:r>
        <w:t xml:space="preserve">described in a way that transfers to other datasets.</w:t>
      </w:r>
    </w:p>
    <w:bookmarkStart w:id="54" w:name="X55b17b7e61bdb32c8297cfd98f8918e8caa0c2c"/>
    <w:p>
      <w:pPr>
        <w:pStyle w:val="Heading4"/>
      </w:pPr>
      <w:r>
        <w:rPr>
          <w:rStyle w:val="SectionNumber"/>
        </w:rPr>
        <w:t xml:space="preserve">9.0.0.1</w:t>
      </w:r>
      <w:r>
        <w:tab/>
      </w:r>
      <w:r>
        <w:t xml:space="preserve">The inviting fact is cheaper to reach than the correcting fact.</w:t>
      </w:r>
    </w:p>
    <w:p>
      <w:pPr>
        <w:pStyle w:val="FirstParagraph"/>
      </w:pPr>
      <w:r>
        <w:rPr>
          <w:rStyle w:val="VerbatimChar"/>
        </w:rPr>
        <w:t xml:space="preserve">RequiresApplied</w:t>
      </w:r>
      <w:r>
        <w:t xml:space="preserve"> </w:t>
      </w:r>
      <w:r>
        <w:t xml:space="preserve">is an attribute on the effect element.</w:t>
      </w:r>
      <w:r>
        <w:t xml:space="preserve"> </w:t>
      </w:r>
      <w:r>
        <w:rPr>
          <w:rStyle w:val="VerbatimChar"/>
        </w:rPr>
        <w:t xml:space="preserve">ukm:InForce</w:t>
      </w:r>
      <w:r>
        <w:t xml:space="preserve"> </w:t>
      </w:r>
      <w:r>
        <w:t xml:space="preserve">is a child element of it. In every common way of consuming</w:t>
      </w:r>
      <w:r>
        <w:t xml:space="preserve"> </w:t>
      </w:r>
      <w:r>
        <w:t xml:space="preserve">XML — an attribute map, a flattening to tabular form, a regular expression</w:t>
      </w:r>
      <w:r>
        <w:t xml:space="preserve"> </w:t>
      </w:r>
      <w:r>
        <w:t xml:space="preserve">over tags — the first is obtained by default and the second requires a</w:t>
      </w:r>
      <w:r>
        <w:t xml:space="preserve"> </w:t>
      </w:r>
      <w:r>
        <w:t xml:space="preserve">deliberate second step. Cost asymmetry between a fact and its qualifier</w:t>
      </w:r>
      <w:r>
        <w:t xml:space="preserve"> </w:t>
      </w:r>
      <w:r>
        <w:t xml:space="preserve">determines which one a consumer ends up with.</w:t>
      </w:r>
    </w:p>
    <w:bookmarkEnd w:id="54"/>
    <w:bookmarkStart w:id="55" w:name="the-qualifier-is-not-marked-as-required."/>
    <w:p>
      <w:pPr>
        <w:pStyle w:val="Heading4"/>
      </w:pPr>
      <w:r>
        <w:rPr>
          <w:rStyle w:val="SectionNumber"/>
        </w:rPr>
        <w:t xml:space="preserve">9.0.0.2</w:t>
      </w:r>
      <w:r>
        <w:tab/>
      </w:r>
      <w:r>
        <w:t xml:space="preserve">The qualifier is not marked as required.</w:t>
      </w:r>
    </w:p>
    <w:p>
      <w:pPr>
        <w:pStyle w:val="FirstParagraph"/>
      </w:pPr>
      <w:r>
        <w:t xml:space="preserve">Nothing in the record</w:t>
      </w:r>
      <w:r>
        <w:t xml:space="preserve"> </w:t>
      </w:r>
      <w:r>
        <w:t xml:space="preserve">indicates that</w:t>
      </w:r>
      <w:r>
        <w:t xml:space="preserve"> </w:t>
      </w:r>
      <w:r>
        <w:rPr>
          <w:rStyle w:val="VerbatimChar"/>
        </w:rPr>
        <w:t xml:space="preserve">RequiresApplied</w:t>
      </w:r>
      <w:r>
        <w:t xml:space="preserve"> </w:t>
      </w:r>
      <w:r>
        <w:t xml:space="preserve">is uninterpretable on its own. A</w:t>
      </w:r>
      <w:r>
        <w:t xml:space="preserve"> </w:t>
      </w:r>
      <w:r>
        <w:t xml:space="preserve">consumer who reads it and stops receives no signal that anything is missing,</w:t>
      </w:r>
      <w:r>
        <w:t xml:space="preserve"> </w:t>
      </w:r>
      <w:r>
        <w:t xml:space="preserve">because from the parser’s point of view nothing is.</w:t>
      </w:r>
    </w:p>
    <w:bookmarkEnd w:id="55"/>
    <w:bookmarkStart w:id="56" w:name="X260b85810e36f8cd3e71f656c54d92069b710bf"/>
    <w:p>
      <w:pPr>
        <w:pStyle w:val="Heading4"/>
      </w:pPr>
      <w:r>
        <w:rPr>
          <w:rStyle w:val="SectionNumber"/>
        </w:rPr>
        <w:t xml:space="preserve">9.0.0.3</w:t>
      </w:r>
      <w:r>
        <w:tab/>
      </w:r>
      <w:r>
        <w:t xml:space="preserve">The vocabulary is coarser than the schema.</w:t>
      </w:r>
    </w:p>
    <w:p>
      <w:pPr>
        <w:pStyle w:val="FirstParagraph"/>
      </w:pPr>
      <w:r>
        <w:t xml:space="preserve">The publisher’s</w:t>
      </w:r>
      <w:r>
        <w:t xml:space="preserve"> </w:t>
      </w:r>
      <w:r>
        <w:t xml:space="preserve">documentation calls all four states</w:t>
      </w:r>
      <w:r>
        <w:t xml:space="preserve"> </w:t>
      </w:r>
      <w:r>
        <w:t xml:space="preserve">‘</w:t>
      </w:r>
      <w:r>
        <w:t xml:space="preserve">unapplied effects</w:t>
      </w:r>
      <w:r>
        <w:t xml:space="preserve">’</w:t>
      </w:r>
      <w:r>
        <w:t xml:space="preserve">. The term is accurate</w:t>
      </w:r>
      <w:r>
        <w:t xml:space="preserve"> </w:t>
      </w:r>
      <w:r>
        <w:t xml:space="preserve">for each of them and discriminating for none. Prose that names a superset of</w:t>
      </w:r>
      <w:r>
        <w:t xml:space="preserve"> </w:t>
      </w:r>
      <w:r>
        <w:t xml:space="preserve">what the data distinguishes will validate a reader’s wrong reading, and the</w:t>
      </w:r>
      <w:r>
        <w:t xml:space="preserve"> </w:t>
      </w:r>
      <w:r>
        <w:t xml:space="preserve">more carefully that reader checks the documentation, the more confident the</w:t>
      </w:r>
      <w:r>
        <w:t xml:space="preserve"> </w:t>
      </w:r>
      <w:r>
        <w:t xml:space="preserve">wrong reading becomes.</w:t>
      </w:r>
    </w:p>
    <w:bookmarkEnd w:id="56"/>
    <w:bookmarkStart w:id="57" w:name="the-consequence-is-asymmetric."/>
    <w:p>
      <w:pPr>
        <w:pStyle w:val="Heading4"/>
      </w:pPr>
      <w:r>
        <w:rPr>
          <w:rStyle w:val="SectionNumber"/>
        </w:rPr>
        <w:t xml:space="preserve">9.0.0.4</w:t>
      </w:r>
      <w:r>
        <w:tab/>
      </w:r>
      <w:r>
        <w:t xml:space="preserve">The consequence is asymmetric.</w:t>
      </w:r>
    </w:p>
    <w:p>
      <w:pPr>
        <w:pStyle w:val="FirstParagraph"/>
      </w:pPr>
      <w:r>
        <w:t xml:space="preserve">Reading</w:t>
      </w:r>
      <w:r>
        <w:t xml:space="preserve"> </w:t>
      </w:r>
      <w:r>
        <w:rPr>
          <w:rStyle w:val="VerbatimChar"/>
        </w:rPr>
        <w:t xml:space="preserve">RequiresApplied</w:t>
      </w:r>
      <w:r>
        <w:t xml:space="preserve"> </w:t>
      </w:r>
      <w:r>
        <w:t xml:space="preserve">alone does not produce a slightly imprecise figure. It produces one</w:t>
      </w:r>
      <w:r>
        <w:t xml:space="preserve"> </w:t>
      </w:r>
      <w:r>
        <w:t xml:space="preserve">131 times too large, pointing in the direction of</w:t>
      </w:r>
      <w:r>
        <w:t xml:space="preserve"> </w:t>
      </w:r>
      <w:r>
        <w:t xml:space="preserve">accusation, against an institution that is meeting its published commitment.</w:t>
      </w:r>
      <w:r>
        <w:t xml:space="preserve"> </w:t>
      </w:r>
      <w:r>
        <w:t xml:space="preserve">The error is not merely large; it is large in the direction that generates</w:t>
      </w:r>
      <w:r>
        <w:t xml:space="preserve"> </w:t>
      </w:r>
      <w:r>
        <w:t xml:space="preserve">findings people want to publish.</w:t>
      </w:r>
    </w:p>
    <w:p>
      <w:pPr>
        <w:pStyle w:val="BodyText"/>
      </w:pPr>
      <w:r>
        <w:t xml:space="preserve">None of these four properties is unique to this dataset. Together they describe</w:t>
      </w:r>
      <w:r>
        <w:t xml:space="preserve"> </w:t>
      </w:r>
      <w:r>
        <w:t xml:space="preserve">a shape — an inviting attribute, a qualifying child, an undiscriminating</w:t>
      </w:r>
      <w:r>
        <w:t xml:space="preserve"> </w:t>
      </w:r>
      <w:r>
        <w:t xml:space="preserve">label — that a publisher can look for in its own schema, and that a consumer</w:t>
      </w:r>
      <w:r>
        <w:t xml:space="preserve"> </w:t>
      </w:r>
      <w:r>
        <w:t xml:space="preserve">can look for before trusting a count.</w:t>
      </w:r>
    </w:p>
    <w:bookmarkEnd w:id="57"/>
    <w:bookmarkEnd w:id="58"/>
    <w:bookmarkStart w:id="61" w:name="sec:schema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What the schema learned about itself</w:t>
      </w:r>
    </w:p>
    <w:p>
      <w:pPr>
        <w:pStyle w:val="FirstParagraph"/>
      </w:pPr>
      <w:r>
        <w:t xml:space="preserve">Two changes to the companion study’s proposal came out of using it, and neither</w:t>
      </w:r>
      <w:r>
        <w:t xml:space="preserve"> </w:t>
      </w:r>
      <w:r>
        <w:t xml:space="preserve">would have come out of thinking about it.</w:t>
      </w:r>
    </w:p>
    <w:bookmarkStart w:id="59" w:name="X28e5068e3da2b6281cf152eb28c5371f2530d44"/>
    <w:p>
      <w:pPr>
        <w:pStyle w:val="Heading4"/>
      </w:pPr>
      <w:r>
        <w:rPr>
          <w:rStyle w:val="SectionNumber"/>
        </w:rPr>
        <w:t xml:space="preserve">10.0.0.1</w:t>
      </w:r>
      <w:r>
        <w:tab/>
      </w:r>
      <w:r>
        <w:t xml:space="preserve">A discrepancy has to record who declared it.</w:t>
      </w:r>
    </w:p>
    <w:p>
      <w:pPr>
        <w:pStyle w:val="FirstParagraph"/>
      </w:pPr>
      <w:r>
        <w:t xml:space="preserve">Applied to a well-run</w:t>
      </w:r>
      <w:r>
        <w:t xml:space="preserve"> </w:t>
      </w:r>
      <w:r>
        <w:t xml:space="preserve">interface, four of the five fields take a single value across every record in</w:t>
      </w:r>
      <w:r>
        <w:t xml:space="preserve"> </w:t>
      </w:r>
      <w:r>
        <w:t xml:space="preserve">the collection: one source class, one retrieval route, one corroboration count,</w:t>
      </w:r>
      <w:r>
        <w:t xml:space="preserve"> </w:t>
      </w:r>
      <w:r>
        <w:t xml:space="preserve">one transformation. That is the schema working, not failing — it costs</w:t>
      </w:r>
      <w:r>
        <w:t xml:space="preserve"> </w:t>
      </w:r>
      <w:r>
        <w:t xml:space="preserve">nothing here because there is nothing to say.</w:t>
      </w:r>
    </w:p>
    <w:p>
      <w:pPr>
        <w:pStyle w:val="BodyText"/>
      </w:pPr>
      <w:r>
        <w:t xml:space="preserve">But the defect this study measures was invisible to all five fields. Every</w:t>
      </w:r>
      <w:r>
        <w:t xml:space="preserve"> </w:t>
      </w:r>
      <w:r>
        <w:t xml:space="preserve">affected Act was retrieved perfectly — official primary source, live, no</w:t>
      </w:r>
      <w:r>
        <w:t xml:space="preserve"> </w:t>
      </w:r>
      <w:r>
        <w:t xml:space="preserve">transformation, nothing to report — so under the schema as written an Act</w:t>
      </w:r>
      <w:r>
        <w:t xml:space="preserve"> </w:t>
      </w:r>
      <w:r>
        <w:t xml:space="preserve">displaying text that does not reflect the law is indistinguishable from one</w:t>
      </w:r>
      <w:r>
        <w:t xml:space="preserve"> </w:t>
      </w:r>
      <w:r>
        <w:t xml:space="preserve">that is entirely current. The argument does not depend on the size of the</w:t>
      </w:r>
      <w:r>
        <w:t xml:space="preserve"> </w:t>
      </w:r>
      <w:r>
        <w:t xml:space="preserve">defect, and the size is small: 9 Acts, 110 effects. An</w:t>
      </w:r>
      <w:r>
        <w:t xml:space="preserve"> </w:t>
      </w:r>
      <w:r>
        <w:t xml:space="preserve">earlier draft made the same point with an Act omitting hundreds of amendments,</w:t>
      </w:r>
      <w:r>
        <w:t xml:space="preserve"> </w:t>
      </w:r>
      <w:r>
        <w:t xml:space="preserve">which the corrected measure shows does not exist.</w:t>
      </w:r>
    </w:p>
    <w:p>
      <w:pPr>
        <w:pStyle w:val="BodyText"/>
      </w:pPr>
      <w:r>
        <w:t xml:space="preserve">The remedy is not a sixth field. The purpose the companion study gives</w:t>
      </w:r>
      <w:r>
        <w:t xml:space="preserve"> </w:t>
      </w:r>
      <w:r>
        <w:rPr>
          <w:rStyle w:val="VerbatimChar"/>
        </w:rPr>
        <w:t xml:space="preserve">discrepancy</w:t>
      </w:r>
      <w:r>
        <w:t xml:space="preserve"> </w:t>
      </w:r>
      <w:r>
        <w:t xml:space="preserve">is</w:t>
      </w:r>
      <w:r>
        <w:t xml:space="preserve"> </w:t>
      </w:r>
      <w:r>
        <w:t xml:space="preserve">‘</w:t>
      </w:r>
      <w:r>
        <w:t xml:space="preserve">is there a known problem with this record?</w:t>
      </w:r>
      <w:r>
        <w:t xml:space="preserve">’</w:t>
      </w:r>
      <w:r>
        <w:t xml:space="preserve">, and a</w:t>
      </w:r>
      <w:r>
        <w:t xml:space="preserve"> </w:t>
      </w:r>
      <w:r>
        <w:t xml:space="preserve">publisher flagging its own text as not current is exactly that. What the</w:t>
      </w:r>
      <w:r>
        <w:t xml:space="preserve"> </w:t>
      </w:r>
      <w:r>
        <w:t xml:space="preserve">field’s</w:t>
      </w:r>
      <w:r>
        <w:t xml:space="preserve"> </w:t>
      </w:r>
      <w:r>
        <w:rPr>
          <w:iCs/>
          <w:i/>
        </w:rPr>
        <w:t xml:space="preserve">values</w:t>
      </w:r>
      <w:r>
        <w:t xml:space="preserve"> </w:t>
      </w:r>
      <w:r>
        <w:t xml:space="preserve">omit is that a discrepancy can be declared by the source</w:t>
      </w:r>
      <w:r>
        <w:t xml:space="preserve"> </w:t>
      </w:r>
      <w:r>
        <w:t xml:space="preserve">as well as found by the collector — and a null means different things in the</w:t>
      </w:r>
      <w:r>
        <w:t xml:space="preserve"> </w:t>
      </w:r>
      <w:r>
        <w:t xml:space="preserve">two cases. Found by a collector, it cost two or more sources and a comparison,</w:t>
      </w:r>
      <w:r>
        <w:t xml:space="preserve"> </w:t>
      </w:r>
      <w:r>
        <w:t xml:space="preserve">so a null may only mean nobody looked hard enough. Declared by a source, it</w:t>
      </w:r>
      <w:r>
        <w:t xml:space="preserve"> </w:t>
      </w:r>
      <w:r>
        <w:t xml:space="preserve">costs nothing to record, so a null means the publisher did not say. A single</w:t>
      </w:r>
      <w:r>
        <w:t xml:space="preserve"> </w:t>
      </w:r>
      <w:r>
        <w:t xml:space="preserve">null standing for both is the collapse that paper objects to when one</w:t>
      </w:r>
      <w:r>
        <w:t xml:space="preserve"> </w:t>
      </w:r>
      <w:r>
        <w:t xml:space="preserve">confidence score stands for availability and consistency at once.</w:t>
      </w:r>
    </w:p>
    <w:p>
      <w:pPr>
        <w:pStyle w:val="BodyText"/>
      </w:pPr>
      <w:r>
        <w:t xml:space="preserve">The two jurisdictions are the argument. Here, 9 records</w:t>
      </w:r>
      <w:r>
        <w:t xml:space="preserve"> </w:t>
      </w:r>
      <w:r>
        <w:t xml:space="preserve">carry a source-declared discrepancy and 0 a collector-found</w:t>
      </w:r>
      <w:r>
        <w:t xml:space="preserve"> </w:t>
      </w:r>
      <w:r>
        <w:t xml:space="preserve">one. In the companion corpus it was the reverse: four self-contradicting</w:t>
      </w:r>
      <w:r>
        <w:t xml:space="preserve"> </w:t>
      </w:r>
      <w:r>
        <w:t xml:space="preserve">instruments, every one of them found by hand. The same class of defect, with</w:t>
      </w:r>
      <w:r>
        <w:t xml:space="preserve"> </w:t>
      </w:r>
      <w:r>
        <w:t xml:space="preserve">opposite provenance — and a straightforward consequence for who should be</w:t>
      </w:r>
      <w:r>
        <w:t xml:space="preserve"> </w:t>
      </w:r>
      <w:r>
        <w:t xml:space="preserve">doing the work.</w:t>
      </w:r>
    </w:p>
    <w:bookmarkEnd w:id="59"/>
    <w:bookmarkStart w:id="60" w:name="X47dd8963db44ecba7256defaba517bce8cda9f6"/>
    <w:p>
      <w:pPr>
        <w:pStyle w:val="Heading4"/>
      </w:pPr>
      <w:r>
        <w:rPr>
          <w:rStyle w:val="SectionNumber"/>
        </w:rPr>
        <w:t xml:space="preserve">10.0.0.2</w:t>
      </w:r>
      <w:r>
        <w:tab/>
      </w:r>
      <w:r>
        <w:t xml:space="preserve">The fields divide by what they describe, not by what they are</w:t>
      </w:r>
      <w:r>
        <w:t xml:space="preserve"> </w:t>
      </w:r>
      <w:r>
        <w:t xml:space="preserve">about.</w:t>
      </w:r>
    </w:p>
    <w:p>
      <w:pPr>
        <w:pStyle w:val="FirstParagraph"/>
      </w:pPr>
      <w:r>
        <w:rPr>
          <w:rStyle w:val="VerbatimChar"/>
        </w:rPr>
        <w:t xml:space="preserve">source_class</w:t>
      </w:r>
      <w:r>
        <w:t xml:space="preserve"> </w:t>
      </w:r>
      <w:r>
        <w:t xml:space="preserve">describes the record: whose copy this is.</w:t>
      </w:r>
      <w:r>
        <w:t xml:space="preserve"> </w:t>
      </w:r>
      <w:r>
        <w:rPr>
          <w:rStyle w:val="VerbatimChar"/>
        </w:rPr>
        <w:t xml:space="preserve">retrieval_route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corroboration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transformation</w:t>
      </w:r>
      <w:r>
        <w:t xml:space="preserve"> </w:t>
      </w:r>
      <w:r>
        <w:t xml:space="preserve">describe the encounter: whether the live source answered</w:t>
      </w:r>
      <w:r>
        <w:t xml:space="preserve"> </w:t>
      </w:r>
      <w:r>
        <w:rPr>
          <w:iCs/>
          <w:i/>
        </w:rPr>
        <w:t xml:space="preserve">us</w:t>
      </w:r>
      <w:r>
        <w:t xml:space="preserve">, how many</w:t>
      </w:r>
      <w:r>
        <w:t xml:space="preserve"> </w:t>
      </w:r>
      <w:r>
        <w:t xml:space="preserve">sources</w:t>
      </w:r>
      <w:r>
        <w:t xml:space="preserve"> </w:t>
      </w:r>
      <w:r>
        <w:rPr>
          <w:iCs/>
          <w:i/>
        </w:rPr>
        <w:t xml:space="preserve">we</w:t>
      </w:r>
      <w:r>
        <w:t xml:space="preserve"> </w:t>
      </w:r>
      <w:r>
        <w:t xml:space="preserve">found agreeing, what</w:t>
      </w:r>
      <w:r>
        <w:t xml:space="preserve"> </w:t>
      </w:r>
      <w:r>
        <w:rPr>
          <w:iCs/>
          <w:i/>
        </w:rPr>
        <w:t xml:space="preserve">we</w:t>
      </w:r>
      <w:r>
        <w:t xml:space="preserve"> </w:t>
      </w:r>
      <w:r>
        <w:t xml:space="preserve">had to do to the bytes we got.</w:t>
      </w:r>
      <w:r>
        <w:t xml:space="preserve"> </w:t>
      </w:r>
      <w:r>
        <w:rPr>
          <w:rStyle w:val="VerbatimChar"/>
        </w:rPr>
        <w:t xml:space="preserve">discrepancy</w:t>
      </w:r>
      <w:r>
        <w:t xml:space="preserve"> </w:t>
      </w:r>
      <w:r>
        <w:t xml:space="preserve">is either, depending on who declared it.</w:t>
      </w:r>
    </w:p>
    <w:p>
      <w:pPr>
        <w:pStyle w:val="BodyText"/>
      </w:pPr>
      <w:r>
        <w:t xml:space="preserve">Four of five describe the encounter, which is why the availability half of this</w:t>
      </w:r>
      <w:r>
        <w:t xml:space="preserve"> </w:t>
      </w:r>
      <w:r>
        <w:t xml:space="preserve">comparison could not be salvaged. It also complicates the companion study’s own</w:t>
      </w:r>
      <w:r>
        <w:t xml:space="preserve"> </w:t>
      </w:r>
      <w:r>
        <w:t xml:space="preserve">recommendation. That paper asks publishers to populate these fields; if a</w:t>
      </w:r>
      <w:r>
        <w:t xml:space="preserve"> </w:t>
      </w:r>
      <w:r>
        <w:t xml:space="preserve">publisher does, the encounter fields describe the publisher’s encounter with</w:t>
      </w:r>
      <w:r>
        <w:t xml:space="preserve"> </w:t>
      </w:r>
      <w:r>
        <w:t xml:space="preserve">its own source, which is a third thing again and comparable with neither. A</w:t>
      </w:r>
      <w:r>
        <w:t xml:space="preserve"> </w:t>
      </w:r>
      <w:r>
        <w:t xml:space="preserve">provenance schema intended for use across collections has to mark which of its</w:t>
      </w:r>
      <w:r>
        <w:t xml:space="preserve"> </w:t>
      </w:r>
      <w:r>
        <w:t xml:space="preserve">fields are encounter-relative. That one does not.</w:t>
      </w:r>
    </w:p>
    <w:bookmarkEnd w:id="60"/>
    <w:bookmarkEnd w:id="61"/>
    <w:bookmarkStart w:id="65" w:name="what-follow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What follows</w:t>
      </w:r>
    </w:p>
    <w:bookmarkStart w:id="62" w:name="X5a3e1640284c9fe3954c5b813200ca57e59c635"/>
    <w:p>
      <w:pPr>
        <w:pStyle w:val="Heading4"/>
      </w:pPr>
      <w:r>
        <w:rPr>
          <w:rStyle w:val="SectionNumber"/>
        </w:rPr>
        <w:t xml:space="preserve">11.0.0.1</w:t>
      </w:r>
      <w:r>
        <w:tab/>
      </w:r>
      <w:r>
        <w:t xml:space="preserve">Publishing the distinguishing field is not enough; placing it is.</w:t>
      </w:r>
    </w:p>
    <w:p>
      <w:pPr>
        <w:pStyle w:val="FirstParagraph"/>
      </w:pPr>
      <w:r>
        <w:t xml:space="preserve">Everything needed to read this record correctly is published. The failure is</w:t>
      </w:r>
      <w:r>
        <w:t xml:space="preserve"> </w:t>
      </w:r>
      <w:r>
        <w:t xml:space="preserve">one of arrangement: the flag that invites the wrong conclusion is an attribute</w:t>
      </w:r>
      <w:r>
        <w:t xml:space="preserve"> </w:t>
      </w:r>
      <w:r>
        <w:t xml:space="preserve">on the effect, and the fact that corrects it is a child element inside it. A</w:t>
      </w:r>
      <w:r>
        <w:t xml:space="preserve"> </w:t>
      </w:r>
      <w:r>
        <w:t xml:space="preserve">consumer parsing attributes — the ordinary way to read this format — gets</w:t>
      </w:r>
      <w:r>
        <w:t xml:space="preserve"> </w:t>
      </w:r>
      <w:r>
        <w:t xml:space="preserve">the first and not the second, and nothing in the response marks the omission.</w:t>
      </w:r>
      <w:r>
        <w:t xml:space="preserve"> </w:t>
      </w:r>
      <w:r>
        <w:t xml:space="preserve">A publisher cannot control how it is read, but it can decide which fact is</w:t>
      </w:r>
      <w:r>
        <w:t xml:space="preserve"> </w:t>
      </w:r>
      <w:r>
        <w:t xml:space="preserve">cheapest to reach.</w:t>
      </w:r>
    </w:p>
    <w:bookmarkEnd w:id="62"/>
    <w:bookmarkStart w:id="63" w:name="X059a50266f4cede4a851f3a12db3e430a412b3e"/>
    <w:p>
      <w:pPr>
        <w:pStyle w:val="Heading4"/>
      </w:pPr>
      <w:r>
        <w:rPr>
          <w:rStyle w:val="SectionNumber"/>
        </w:rPr>
        <w:t xml:space="preserve">11.0.0.2</w:t>
      </w:r>
      <w:r>
        <w:tab/>
      </w:r>
      <w:r>
        <w:t xml:space="preserve">Prose that does not distinguish what the data distinguishes.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service describes flagging</w:t>
      </w:r>
      <w:r>
        <w:t xml:space="preserve"> </w:t>
      </w:r>
      <w:r>
        <w:t xml:space="preserve">‘</w:t>
      </w:r>
      <w:r>
        <w:t xml:space="preserve">unapplied effects</w:t>
      </w:r>
      <w:r>
        <w:t xml:space="preserve">’</w:t>
      </w:r>
      <w:r>
        <w:t xml:space="preserve">. Its data separates four states</w:t>
      </w:r>
      <w:r>
        <w:t xml:space="preserve"> </w:t>
      </w:r>
      <w:r>
        <w:t xml:space="preserve">under that phrase, only two of which mean the text is out of date. The</w:t>
      </w:r>
      <w:r>
        <w:t xml:space="preserve"> </w:t>
      </w:r>
      <w:r>
        <w:t xml:space="preserve">documentation was checked against the reading used here and appeared to confirm</w:t>
      </w:r>
      <w:r>
        <w:t xml:space="preserve"> </w:t>
      </w:r>
      <w:r>
        <w:t xml:space="preserve">it, because the words are true of all four. Where a vocabulary is coarser than</w:t>
      </w:r>
      <w:r>
        <w:t xml:space="preserve"> </w:t>
      </w:r>
      <w:r>
        <w:t xml:space="preserve">the schema it describes, the documentation will validate a wrong reading.</w:t>
      </w:r>
    </w:p>
    <w:bookmarkEnd w:id="63"/>
    <w:bookmarkStart w:id="64" w:name="X280ffc942b31218a3292e581f41850216787ad0"/>
    <w:p>
      <w:pPr>
        <w:pStyle w:val="Heading4"/>
      </w:pPr>
      <w:r>
        <w:rPr>
          <w:rStyle w:val="SectionNumber"/>
        </w:rPr>
        <w:t xml:space="preserve">11.0.0.3</w:t>
      </w:r>
      <w:r>
        <w:tab/>
      </w:r>
      <w:r>
        <w:t xml:space="preserve">A measurement that reverses is worth more than one that confirms.</w:t>
      </w:r>
    </w:p>
    <w:p>
      <w:pPr>
        <w:pStyle w:val="FirstParagraph"/>
      </w:pPr>
      <w:r>
        <w:t xml:space="preserve">This study set out expecting to find a backlog, found one, and had to withdraw</w:t>
      </w:r>
      <w:r>
        <w:t xml:space="preserve"> </w:t>
      </w:r>
      <w:r>
        <w:t xml:space="preserve">it. The corrected result — a public publisher meeting its stated standard</w:t>
      </w:r>
      <w:r>
        <w:t xml:space="preserve"> </w:t>
      </w:r>
      <w:r>
        <w:t xml:space="preserve">without exception across 1988–2026 — is a kind of finding the</w:t>
      </w:r>
      <w:r>
        <w:t xml:space="preserve"> </w:t>
      </w:r>
      <w:r>
        <w:t xml:space="preserve">open-data literature reports rarely, in part because it is not what anyone goes</w:t>
      </w:r>
      <w:r>
        <w:t xml:space="preserve"> </w:t>
      </w:r>
      <w:r>
        <w:t xml:space="preserve">looking for.</w:t>
      </w:r>
    </w:p>
    <w:bookmarkEnd w:id="64"/>
    <w:bookmarkEnd w:id="65"/>
    <w:bookmarkStart w:id="75" w:name="implication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Implications</w:t>
      </w:r>
    </w:p>
    <w:p>
      <w:pPr>
        <w:pStyle w:val="FirstParagraph"/>
      </w:pPr>
      <w:r>
        <w:t xml:space="preserve">The diagnosis in section 5 is of no use unless it tells someone what to do. It</w:t>
      </w:r>
      <w:r>
        <w:t xml:space="preserve"> </w:t>
      </w:r>
      <w:r>
        <w:t xml:space="preserve">gives different instructions to the two parties, and the instruction to the</w:t>
      </w:r>
      <w:r>
        <w:t xml:space="preserve"> </w:t>
      </w:r>
      <w:r>
        <w:t xml:space="preserve">publisher is the cheaper one.</w:t>
      </w:r>
    </w:p>
    <w:bookmarkStart w:id="69" w:name="for-publishers-of-official-data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For publishers of official data</w:t>
      </w:r>
    </w:p>
    <w:bookmarkStart w:id="66" w:name="Xb5d021faeeede2dace172b1e381341053f0bffb"/>
    <w:p>
      <w:pPr>
        <w:pStyle w:val="Heading4"/>
      </w:pPr>
      <w:r>
        <w:rPr>
          <w:rStyle w:val="SectionNumber"/>
        </w:rPr>
        <w:t xml:space="preserve">12.1.0.1</w:t>
      </w:r>
      <w:r>
        <w:tab/>
      </w:r>
      <w:r>
        <w:t xml:space="preserve">Make the qualifier as cheap to reach as the fact it qualifies.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concrete change here is small: promote the in-force state to an attribute on</w:t>
      </w:r>
      <w:r>
        <w:t xml:space="preserve"> </w:t>
      </w:r>
      <w:r>
        <w:t xml:space="preserve">the effect element, alongside the flag it governs, or add an attribute that</w:t>
      </w:r>
      <w:r>
        <w:t xml:space="preserve"> </w:t>
      </w:r>
      <w:r>
        <w:t xml:space="preserve">summarizes it. Nothing new would be published; the same fact would simply cost</w:t>
      </w:r>
      <w:r>
        <w:t xml:space="preserve"> </w:t>
      </w:r>
      <w:r>
        <w:t xml:space="preserve">the same to obtain as the one that misleads without it. Where a schema cannot</w:t>
      </w:r>
      <w:r>
        <w:t xml:space="preserve"> </w:t>
      </w:r>
      <w:r>
        <w:t xml:space="preserve">be changed, the same effect is available by publishing a derived field — a</w:t>
      </w:r>
      <w:r>
        <w:t xml:space="preserve"> </w:t>
      </w:r>
      <w:r>
        <w:t xml:space="preserve">single attribute whose value is the state a correct reading produces.</w:t>
      </w:r>
    </w:p>
    <w:bookmarkEnd w:id="66"/>
    <w:bookmarkStart w:id="67" w:name="name-the-states-in-the-documentation."/>
    <w:p>
      <w:pPr>
        <w:pStyle w:val="Heading4"/>
      </w:pPr>
      <w:r>
        <w:rPr>
          <w:rStyle w:val="SectionNumber"/>
        </w:rPr>
        <w:t xml:space="preserve">12.1.0.2</w:t>
      </w:r>
      <w:r>
        <w:tab/>
      </w:r>
      <w:r>
        <w:t xml:space="preserve">Name the states in the documentation.</w:t>
      </w:r>
    </w:p>
    <w:p>
      <w:pPr>
        <w:pStyle w:val="FirstParagraph"/>
      </w:pPr>
      <w:r>
        <w:t xml:space="preserve">The phrase</w:t>
      </w:r>
      <w:r>
        <w:t xml:space="preserve"> </w:t>
      </w:r>
      <w:r>
        <w:t xml:space="preserve">‘</w:t>
      </w:r>
      <w:r>
        <w:t xml:space="preserve">unapplied</w:t>
      </w:r>
      <w:r>
        <w:t xml:space="preserve"> </w:t>
      </w:r>
      <w:r>
        <w:t xml:space="preserve">effects</w:t>
      </w:r>
      <w:r>
        <w:t xml:space="preserve">’</w:t>
      </w:r>
      <w:r>
        <w:t xml:space="preserve"> </w:t>
      </w:r>
      <w:r>
        <w:t xml:space="preserve">is accurate for four distinct conditions and discriminating for none.</w:t>
      </w:r>
      <w:r>
        <w:t xml:space="preserve"> </w:t>
      </w:r>
      <w:r>
        <w:t xml:space="preserve">A sentence naming them, and saying which mean the displayed text is out of</w:t>
      </w:r>
      <w:r>
        <w:t xml:space="preserve"> </w:t>
      </w:r>
      <w:r>
        <w:t xml:space="preserve">date, would have prevented the error reported here at the cost of one sentence.</w:t>
      </w:r>
      <w:r>
        <w:t xml:space="preserve"> </w:t>
      </w:r>
      <w:r>
        <w:t xml:space="preserve">A vocabulary coarser than the schema does not merely fail to help; it actively</w:t>
      </w:r>
      <w:r>
        <w:t xml:space="preserve"> </w:t>
      </w:r>
      <w:r>
        <w:t xml:space="preserve">confirms a wrong reading for the reader who checks.</w:t>
      </w:r>
    </w:p>
    <w:bookmarkEnd w:id="67"/>
    <w:bookmarkStart w:id="68" w:name="publish-the-count-you-would-want-cited."/>
    <w:p>
      <w:pPr>
        <w:pStyle w:val="Heading4"/>
      </w:pPr>
      <w:r>
        <w:rPr>
          <w:rStyle w:val="SectionNumber"/>
        </w:rPr>
        <w:t xml:space="preserve">12.1.0.3</w:t>
      </w:r>
      <w:r>
        <w:tab/>
      </w:r>
      <w:r>
        <w:t xml:space="preserve">Publish the count you would want cited.</w:t>
      </w:r>
    </w:p>
    <w:p>
      <w:pPr>
        <w:pStyle w:val="FirstParagraph"/>
      </w:pPr>
      <w:r>
        <w:t xml:space="preserve">A publisher that knows how</w:t>
      </w:r>
      <w:r>
        <w:t xml:space="preserve"> </w:t>
      </w:r>
      <w:r>
        <w:t xml:space="preserve">its record is likely to be misread can pre-empt the misreading by publishing</w:t>
      </w:r>
      <w:r>
        <w:t xml:space="preserve"> </w:t>
      </w:r>
      <w:r>
        <w:t xml:space="preserve">the aggregate itself. Had the service published</w:t>
      </w:r>
      <w:r>
        <w:t xml:space="preserve"> </w:t>
      </w:r>
      <w:r>
        <w:t xml:space="preserve">‘</w:t>
      </w:r>
      <w:r>
        <w:t xml:space="preserve">amendments in force and not</w:t>
      </w:r>
      <w:r>
        <w:t xml:space="preserve"> </w:t>
      </w:r>
      <w:r>
        <w:t xml:space="preserve">yet applied: 99</w:t>
      </w:r>
      <w:r>
        <w:t xml:space="preserve">’</w:t>
      </w:r>
      <w:r>
        <w:t xml:space="preserve">, no consumer would have needed to derive it, and</w:t>
      </w:r>
      <w:r>
        <w:t xml:space="preserve"> </w:t>
      </w:r>
      <w:r>
        <w:t xml:space="preserve">no consumer could have derived it wrongly. This is not a matter of trusting the</w:t>
      </w:r>
      <w:r>
        <w:t xml:space="preserve"> </w:t>
      </w:r>
      <w:r>
        <w:t xml:space="preserve">publisher’s arithmetic over one’s own; it is that a published aggregate is a</w:t>
      </w:r>
      <w:r>
        <w:t xml:space="preserve"> </w:t>
      </w:r>
      <w:r>
        <w:t xml:space="preserve">statement the publisher can be held to, and a derived one is not.</w:t>
      </w:r>
    </w:p>
    <w:bookmarkEnd w:id="68"/>
    <w:bookmarkEnd w:id="69"/>
    <w:bookmarkStart w:id="74" w:name="for-consumers-of-official-data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For consumers of official data</w:t>
      </w:r>
    </w:p>
    <w:bookmarkStart w:id="70" w:name="a-flag-is-not-a-measurement."/>
    <w:p>
      <w:pPr>
        <w:pStyle w:val="Heading4"/>
      </w:pPr>
      <w:r>
        <w:rPr>
          <w:rStyle w:val="SectionNumber"/>
        </w:rPr>
        <w:t xml:space="preserve">12.2.0.1</w:t>
      </w:r>
      <w:r>
        <w:tab/>
      </w:r>
      <w:r>
        <w:t xml:space="preserve">A flag is not a measurement.</w:t>
      </w:r>
    </w:p>
    <w:p>
      <w:pPr>
        <w:pStyle w:val="FirstParagraph"/>
      </w:pPr>
      <w:r>
        <w:t xml:space="preserve">The failure here began by treating a</w:t>
      </w:r>
      <w:r>
        <w:t xml:space="preserve"> </w:t>
      </w:r>
      <w:r>
        <w:t xml:space="preserve">boolean as an answer. Before a flag is counted, the question is what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saying: under what conditions is it set, and what else in the record</w:t>
      </w:r>
      <w:r>
        <w:t xml:space="preserve"> </w:t>
      </w:r>
      <w:r>
        <w:t xml:space="preserve">governs its meaning. That question is answerable from the record itself and</w:t>
      </w:r>
      <w:r>
        <w:t xml:space="preserve"> </w:t>
      </w:r>
      <w:r>
        <w:t xml:space="preserve">takes minutes.</w:t>
      </w:r>
    </w:p>
    <w:bookmarkEnd w:id="70"/>
    <w:bookmarkStart w:id="71" w:name="Xbba5921888fe36f06bf943d14086747cea04120"/>
    <w:p>
      <w:pPr>
        <w:pStyle w:val="Heading4"/>
      </w:pPr>
      <w:r>
        <w:rPr>
          <w:rStyle w:val="SectionNumber"/>
        </w:rPr>
        <w:t xml:space="preserve">12.2.0.2</w:t>
      </w:r>
      <w:r>
        <w:tab/>
      </w:r>
      <w:r>
        <w:t xml:space="preserve">Independent reimplementation does not validate a definition.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verifier built for this study agreed with the analysis at every stage,</w:t>
      </w:r>
      <w:r>
        <w:t xml:space="preserve"> </w:t>
      </w:r>
      <w:r>
        <w:t xml:space="preserve">including both wrong ones, because it implemented the same definition by a</w:t>
      </w:r>
      <w:r>
        <w:t xml:space="preserve"> </w:t>
      </w:r>
      <w:r>
        <w:t xml:space="preserve">different route. Reimplementation catches arithmetic and bookkeeping; it cannot</w:t>
      </w:r>
      <w:r>
        <w:t xml:space="preserve"> </w:t>
      </w:r>
      <w:r>
        <w:t xml:space="preserve">catch a mistaken reading, and treating agreement between two implementations as</w:t>
      </w:r>
      <w:r>
        <w:t xml:space="preserve"> </w:t>
      </w:r>
      <w:r>
        <w:t xml:space="preserve">confirmation is a specific and common error.</w:t>
      </w:r>
    </w:p>
    <w:bookmarkEnd w:id="71"/>
    <w:bookmarkStart w:id="72" w:name="X546bc04254e713c93b4d21b75a6d2b6ef4aa1a8"/>
    <w:p>
      <w:pPr>
        <w:pStyle w:val="Heading4"/>
      </w:pPr>
      <w:r>
        <w:rPr>
          <w:rStyle w:val="SectionNumber"/>
        </w:rPr>
        <w:t xml:space="preserve">12.2.0.3</w:t>
      </w:r>
      <w:r>
        <w:tab/>
      </w:r>
      <w:r>
        <w:t xml:space="preserve">Prefer the finding that is harder to publish.</w:t>
      </w:r>
    </w:p>
    <w:p>
      <w:pPr>
        <w:pStyle w:val="FirstParagraph"/>
      </w:pPr>
      <w:r>
        <w:t xml:space="preserve">Each wrong reading</w:t>
      </w:r>
      <w:r>
        <w:t xml:space="preserve"> </w:t>
      </w:r>
      <w:r>
        <w:t xml:space="preserve">here produced a result that was more publishable than the correct one: a large</w:t>
      </w:r>
      <w:r>
        <w:t xml:space="preserve"> </w:t>
      </w:r>
      <w:r>
        <w:t xml:space="preserve">backlog at a well-run public service, concentrated in identifiable instruments,</w:t>
      </w:r>
      <w:r>
        <w:t xml:space="preserve"> </w:t>
      </w:r>
      <w:r>
        <w:t xml:space="preserve">with an apparent trend. The correct result is that nothing is wrong. A measure</w:t>
      </w:r>
      <w:r>
        <w:t xml:space="preserve"> </w:t>
      </w:r>
      <w:r>
        <w:t xml:space="preserve">that yields an unusually clean adverse finding about an institution deserves</w:t>
      </w:r>
      <w:r>
        <w:t xml:space="preserve"> </w:t>
      </w:r>
      <w:r>
        <w:t xml:space="preserve">more scrutiny than one that does not, in proportion to how much its author</w:t>
      </w:r>
      <w:r>
        <w:t xml:space="preserve"> </w:t>
      </w:r>
      <w:r>
        <w:t xml:space="preserve">would like it to be true.</w:t>
      </w:r>
    </w:p>
    <w:bookmarkEnd w:id="72"/>
    <w:bookmarkStart w:id="73" w:name="Xe58e85778cd8cccf56494d04b87c5f5e070b838"/>
    <w:p>
      <w:pPr>
        <w:pStyle w:val="Heading4"/>
      </w:pPr>
      <w:r>
        <w:rPr>
          <w:rStyle w:val="SectionNumber"/>
        </w:rPr>
        <w:t xml:space="preserve">12.2.0.4</w:t>
      </w:r>
      <w:r>
        <w:tab/>
      </w:r>
      <w:r>
        <w:t xml:space="preserve">Where an accusation is implied, verify against the accused’s own</w:t>
      </w:r>
      <w:r>
        <w:t xml:space="preserve"> </w:t>
      </w:r>
      <w:r>
        <w:t xml:space="preserve">account.</w:t>
      </w:r>
    </w:p>
    <w:p>
      <w:pPr>
        <w:pStyle w:val="FirstParagraph"/>
      </w:pPr>
      <w:r>
        <w:t xml:space="preserve">The service publishes both a target and the data needed to test</w:t>
      </w:r>
      <w:r>
        <w:t xml:space="preserve"> </w:t>
      </w:r>
      <w:r>
        <w:t xml:space="preserve">compliance with it. Checking the specific claim — has any amendment exceeded</w:t>
      </w:r>
      <w:r>
        <w:t xml:space="preserve"> </w:t>
      </w:r>
      <w:r>
        <w:t xml:space="preserve">three months — would have exposed every version of the error immediately. It</w:t>
      </w:r>
      <w:r>
        <w:t xml:space="preserve"> </w:t>
      </w:r>
      <w:r>
        <w:t xml:space="preserve">was not checked earlier because the aggregate looked decisive on its own.</w:t>
      </w:r>
    </w:p>
    <w:bookmarkEnd w:id="73"/>
    <w:bookmarkEnd w:id="74"/>
    <w:bookmarkEnd w:id="75"/>
    <w:bookmarkStart w:id="81" w:name="threats-to-validity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Threats to validity</w:t>
      </w:r>
    </w:p>
    <w:bookmarkStart w:id="76" w:name="Xf48d38ffa4775d69b7d2e296a499e7caf4d1dd5"/>
    <w:p>
      <w:pPr>
        <w:pStyle w:val="Heading4"/>
      </w:pPr>
      <w:r>
        <w:rPr>
          <w:rStyle w:val="SectionNumber"/>
        </w:rPr>
        <w:t xml:space="preserve">13.0.0.1</w:t>
      </w:r>
      <w:r>
        <w:tab/>
      </w:r>
      <w:r>
        <w:t xml:space="preserve">One jurisdiction, one publisher, one format.</w:t>
      </w:r>
    </w:p>
    <w:p>
      <w:pPr>
        <w:pStyle w:val="FirstParagraph"/>
      </w:pPr>
      <w:r>
        <w:t xml:space="preserve">The structural</w:t>
      </w:r>
      <w:r>
        <w:t xml:space="preserve"> </w:t>
      </w:r>
      <w:r>
        <w:t xml:space="preserve">diagnosis in section 5 is drawn from a single schema. Its four properties are</w:t>
      </w:r>
      <w:r>
        <w:t xml:space="preserve"> </w:t>
      </w:r>
      <w:r>
        <w:t xml:space="preserve">stated so that they can be looked for elsewhere, not because they have been</w:t>
      </w:r>
      <w:r>
        <w:t xml:space="preserve"> </w:t>
      </w:r>
      <w:r>
        <w:t xml:space="preserve">observed elsewhere.</w:t>
      </w:r>
    </w:p>
    <w:bookmarkEnd w:id="76"/>
    <w:bookmarkStart w:id="77" w:name="primary-legislation-only."/>
    <w:p>
      <w:pPr>
        <w:pStyle w:val="Heading4"/>
      </w:pPr>
      <w:r>
        <w:rPr>
          <w:rStyle w:val="SectionNumber"/>
        </w:rPr>
        <w:t xml:space="preserve">13.0.0.2</w:t>
      </w:r>
      <w:r>
        <w:tab/>
      </w:r>
      <w:r>
        <w:t xml:space="preserve">Primary legislation only.</w:t>
      </w:r>
    </w:p>
    <w:p>
      <w:pPr>
        <w:pStyle w:val="FirstParagraph"/>
      </w:pPr>
      <w:r>
        <w:t xml:space="preserve">Statutory instruments are not covered.</w:t>
      </w:r>
      <w:r>
        <w:t xml:space="preserve"> </w:t>
      </w:r>
      <w:r>
        <w:t xml:space="preserve">They are the larger population, they carry their own unapplied effects, and</w:t>
      </w:r>
      <w:r>
        <w:t xml:space="preserve"> </w:t>
      </w:r>
      <w:r>
        <w:t xml:space="preserve">nothing here should be read as a statement about them.</w:t>
      </w:r>
    </w:p>
    <w:bookmarkEnd w:id="77"/>
    <w:bookmarkStart w:id="78" w:name="a-snapshot-of-a-moving-record."/>
    <w:p>
      <w:pPr>
        <w:pStyle w:val="Heading4"/>
      </w:pPr>
      <w:r>
        <w:rPr>
          <w:rStyle w:val="SectionNumber"/>
        </w:rPr>
        <w:t xml:space="preserve">13.0.0.3</w:t>
      </w:r>
      <w:r>
        <w:tab/>
      </w:r>
      <w:r>
        <w:t xml:space="preserve">A snapshot of a moving record.</w:t>
      </w:r>
    </w:p>
    <w:p>
      <w:pPr>
        <w:pStyle w:val="FirstParagraph"/>
      </w:pPr>
      <w:r>
        <w:t xml:space="preserve">All figures describe the collection</w:t>
      </w:r>
      <w:r>
        <w:t xml:space="preserve"> </w:t>
      </w:r>
      <w:r>
        <w:t xml:space="preserve">date. The in-force effects reported here arose from a commencement three weeks</w:t>
      </w:r>
      <w:r>
        <w:t xml:space="preserve"> </w:t>
      </w:r>
      <w:r>
        <w:t xml:space="preserve">earlier and will be applied, on the publisher’s stated timetable, within</w:t>
      </w:r>
      <w:r>
        <w:t xml:space="preserve"> </w:t>
      </w:r>
      <w:r>
        <w:t xml:space="preserve">another two months. A collection taken at a different moment would find</w:t>
      </w:r>
      <w:r>
        <w:t xml:space="preserve"> </w:t>
      </w:r>
      <w:r>
        <w:t xml:space="preserve">different effects — and, if the service continues to meet its target, a</w:t>
      </w:r>
      <w:r>
        <w:t xml:space="preserve"> </w:t>
      </w:r>
      <w:r>
        <w:t xml:space="preserve">similarly small number of them.</w:t>
      </w:r>
    </w:p>
    <w:bookmarkEnd w:id="78"/>
    <w:bookmarkStart w:id="79" w:name="the-undated-in-force-effects."/>
    <w:p>
      <w:pPr>
        <w:pStyle w:val="Heading4"/>
      </w:pPr>
      <w:r>
        <w:rPr>
          <w:rStyle w:val="SectionNumber"/>
        </w:rPr>
        <w:t xml:space="preserve">13.0.0.4</w:t>
      </w:r>
      <w:r>
        <w:tab/>
      </w:r>
      <w:r>
        <w:t xml:space="preserve">The undated in-force effects.</w:t>
      </w:r>
    </w:p>
    <w:p>
      <w:pPr>
        <w:pStyle w:val="FirstParagraph"/>
      </w:pPr>
      <w:r>
        <w:t xml:space="preserve">11 effects are</w:t>
      </w:r>
      <w:r>
        <w:t xml:space="preserve"> </w:t>
      </w:r>
      <w:r>
        <w:t xml:space="preserve">recorded as in force with no date. They are counted in the affected totals and</w:t>
      </w:r>
      <w:r>
        <w:t xml:space="preserve"> </w:t>
      </w:r>
      <w:r>
        <w:t xml:space="preserve">excluded from every duration figure, because their duration is unknown. If any</w:t>
      </w:r>
      <w:r>
        <w:t xml:space="preserve"> </w:t>
      </w:r>
      <w:r>
        <w:t xml:space="preserve">of them has been in force for longer than the target, this article would not</w:t>
      </w:r>
      <w:r>
        <w:t xml:space="preserve"> </w:t>
      </w:r>
      <w:r>
        <w:t xml:space="preserve">detect it. That is the one direction in which the compliance finding could be</w:t>
      </w:r>
      <w:r>
        <w:t xml:space="preserve"> </w:t>
      </w:r>
      <w:r>
        <w:t xml:space="preserve">wrong, and it is bounded: 11 effects out of 14</w:t>
      </w:r>
      <w:r>
        <w:t xml:space="preserve">,</w:t>
      </w:r>
      <w:r>
        <w:t xml:space="preserve">407.</w:t>
      </w:r>
    </w:p>
    <w:bookmarkEnd w:id="79"/>
    <w:bookmarkStart w:id="80" w:name="the-measure-could-be-wrong-again."/>
    <w:p>
      <w:pPr>
        <w:pStyle w:val="Heading4"/>
      </w:pPr>
      <w:r>
        <w:rPr>
          <w:rStyle w:val="SectionNumber"/>
        </w:rPr>
        <w:t xml:space="preserve">13.0.0.5</w:t>
      </w:r>
      <w:r>
        <w:tab/>
      </w:r>
      <w:r>
        <w:t xml:space="preserve">The measure could be wrong again.</w:t>
      </w:r>
    </w:p>
    <w:p>
      <w:pPr>
        <w:pStyle w:val="FirstParagraph"/>
      </w:pPr>
      <w:r>
        <w:t xml:space="preserve">Three readings of this record</w:t>
      </w:r>
      <w:r>
        <w:t xml:space="preserve"> </w:t>
      </w:r>
      <w:r>
        <w:t xml:space="preserve">have been reported, two of them withdrawn. Each was checked and each survived</w:t>
      </w:r>
      <w:r>
        <w:t xml:space="preserve"> </w:t>
      </w:r>
      <w:r>
        <w:t xml:space="preserve">its checks. The third is reported with more confidence than the first two, on</w:t>
      </w:r>
      <w:r>
        <w:t xml:space="preserve"> </w:t>
      </w:r>
      <w:r>
        <w:t xml:space="preserve">the grounds that it consults every field the record carries about the state of</w:t>
      </w:r>
      <w:r>
        <w:t xml:space="preserve"> </w:t>
      </w:r>
      <w:r>
        <w:t xml:space="preserve">an effect — but that was the belief at each earlier stage as well. A reader</w:t>
      </w:r>
      <w:r>
        <w:t xml:space="preserve"> </w:t>
      </w:r>
      <w:r>
        <w:t xml:space="preserve">with a fourth reading is invited to test it against the published collection.</w:t>
      </w:r>
    </w:p>
    <w:bookmarkEnd w:id="80"/>
    <w:bookmarkEnd w:id="81"/>
    <w:bookmarkStart w:id="8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1.5em</w:t>
      </w:r>
      <w:r>
        <w:t xml:space="preserve">1</w:t>
      </w:r>
      <w:r>
        <w:t xml:space="preserve"> </w:t>
      </w:r>
      <w:r>
        <w:t xml:space="preserve">Gebru, T., Morgenstern, J., Vecchione, B., Vaughan, J. W., Wallach, H.,</w:t>
      </w:r>
      <w:r>
        <w:t xml:space="preserve"> </w:t>
      </w:r>
      <w:r>
        <w:t xml:space="preserve">Daumé III, H., &amp; Crawford, K. (2021). Datasheets for datasets.</w:t>
      </w:r>
      <w:r>
        <w:t xml:space="preserve"> </w:t>
      </w:r>
      <w:r>
        <w:rPr>
          <w:iCs/>
          <w:i/>
        </w:rPr>
        <w:t xml:space="preserve">Communications of the ACM, 64</w:t>
      </w:r>
      <w:r>
        <w:t xml:space="preserve">(12), 86–92.</w:t>
      </w:r>
      <w:r>
        <w:t xml:space="preserve"> </w:t>
      </w:r>
      <w:hyperlink r:id="rId82">
        <w:r>
          <w:rPr>
            <w:rStyle w:val="Hyperlink"/>
          </w:rPr>
          <w:t xml:space="preserve">https://doi.org/10.1145/3458723</w:t>
        </w:r>
      </w:hyperlink>
    </w:p>
    <w:p>
      <w:pPr>
        <w:pStyle w:val="BodyText"/>
      </w:pPr>
      <w:r>
        <w:t xml:space="preserve">Janssen, M., Charalabidis, Y., &amp; Zuiderwijk, A. (2012). Benefits, adoption</w:t>
      </w:r>
      <w:r>
        <w:t xml:space="preserve"> </w:t>
      </w:r>
      <w:r>
        <w:t xml:space="preserve">barriers and myths of open data and open government.</w:t>
      </w:r>
      <w:r>
        <w:t xml:space="preserve"> </w:t>
      </w:r>
      <w:r>
        <w:rPr>
          <w:iCs/>
          <w:i/>
        </w:rPr>
        <w:t xml:space="preserve">Information Systems</w:t>
      </w:r>
      <w:r>
        <w:rPr>
          <w:iCs/>
          <w:i/>
        </w:rPr>
        <w:t xml:space="preserve"> </w:t>
      </w:r>
      <w:r>
        <w:rPr>
          <w:iCs/>
          <w:i/>
        </w:rPr>
        <w:t xml:space="preserve">Management, 29</w:t>
      </w:r>
      <w:r>
        <w:t xml:space="preserve">(4), 258–268.</w:t>
      </w:r>
      <w:r>
        <w:t xml:space="preserve"> </w:t>
      </w:r>
      <w:hyperlink r:id="rId83">
        <w:r>
          <w:rPr>
            <w:rStyle w:val="Hyperlink"/>
          </w:rPr>
          <w:t xml:space="preserve">https://doi.org/10.1080/10580530.2012.716740</w:t>
        </w:r>
      </w:hyperlink>
    </w:p>
    <w:p>
      <w:pPr>
        <w:pStyle w:val="BodyText"/>
      </w:pPr>
      <w:r>
        <w:t xml:space="preserve">legislation.gov.uk. (2026).</w:t>
      </w:r>
      <w:r>
        <w:t xml:space="preserve"> </w:t>
      </w:r>
      <w:r>
        <w:rPr>
          <w:iCs/>
          <w:i/>
        </w:rPr>
        <w:t xml:space="preserve">Understanding legislation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https://www.legislation.gov.uk/understanding-legislation</w:t>
        </w:r>
      </w:hyperlink>
    </w:p>
    <w:p>
      <w:pPr>
        <w:pStyle w:val="BodyText"/>
      </w:pPr>
      <w:r>
        <w:t xml:space="preserve">Neumaier, S., Umbrich, J., &amp; Polleres, A. (2016). Automated quality assessment</w:t>
      </w:r>
      <w:r>
        <w:t xml:space="preserve"> </w:t>
      </w:r>
      <w:r>
        <w:t xml:space="preserve">of metadata across open data portals.</w:t>
      </w:r>
      <w:r>
        <w:t xml:space="preserve"> </w:t>
      </w:r>
      <w:r>
        <w:rPr>
          <w:iCs/>
          <w:i/>
        </w:rPr>
        <w:t xml:space="preserve">ACM Journal of Data and Information</w:t>
      </w:r>
      <w:r>
        <w:rPr>
          <w:iCs/>
          <w:i/>
        </w:rPr>
        <w:t xml:space="preserve"> </w:t>
      </w:r>
      <w:r>
        <w:rPr>
          <w:iCs/>
          <w:i/>
        </w:rPr>
        <w:t xml:space="preserve">Quality, 8</w:t>
      </w:r>
      <w:r>
        <w:t xml:space="preserve">(1), Article 2.</w:t>
      </w:r>
      <w:r>
        <w:t xml:space="preserve"> </w:t>
      </w:r>
      <w:hyperlink r:id="rId85">
        <w:r>
          <w:rPr>
            <w:rStyle w:val="Hyperlink"/>
          </w:rPr>
          <w:t xml:space="preserve">https://doi.org/10.1145/2964909</w:t>
        </w:r>
      </w:hyperlink>
    </w:p>
    <w:p>
      <w:pPr>
        <w:pStyle w:val="BodyText"/>
      </w:pPr>
      <w:r>
        <w:t xml:space="preserve">W3C. (2013).</w:t>
      </w:r>
      <w:r>
        <w:t xml:space="preserve"> </w:t>
      </w:r>
      <w:r>
        <w:rPr>
          <w:iCs/>
          <w:i/>
        </w:rPr>
        <w:t xml:space="preserve">PROV-DM: The PROV data model</w:t>
      </w:r>
      <w:r>
        <w:t xml:space="preserve"> </w:t>
      </w:r>
      <w:r>
        <w:t xml:space="preserve">(W3C Recommendation, April 30,</w:t>
      </w:r>
      <w:r>
        <w:t xml:space="preserve"> </w:t>
      </w:r>
      <w:r>
        <w:t xml:space="preserve">2013). World Wide Web Consortium.</w:t>
      </w:r>
      <w:r>
        <w:t xml:space="preserve"> </w:t>
      </w:r>
      <w:hyperlink r:id="rId86">
        <w:r>
          <w:rPr>
            <w:rStyle w:val="Hyperlink"/>
          </w:rPr>
          <w:t xml:space="preserve">https://www.w3.org/TR/prov-dm/</w:t>
        </w:r>
      </w:hyperlink>
    </w:p>
    <w:p>
      <w:pPr>
        <w:pStyle w:val="BodyText"/>
      </w:pPr>
      <w:r>
        <w:t xml:space="preserve">Wang, R. Y., &amp; Strong, D. M. (1996). Beyond accuracy: What data quality means</w:t>
      </w:r>
      <w:r>
        <w:t xml:space="preserve"> </w:t>
      </w:r>
      <w:r>
        <w:t xml:space="preserve">to data consumers.</w:t>
      </w:r>
      <w:r>
        <w:t xml:space="preserve"> </w:t>
      </w:r>
      <w:r>
        <w:rPr>
          <w:iCs/>
          <w:i/>
        </w:rPr>
        <w:t xml:space="preserve">Journal of Management Information Systems, 12</w:t>
      </w:r>
      <w:r>
        <w:t xml:space="preserve">(4),</w:t>
      </w:r>
      <w:r>
        <w:t xml:space="preserve"> </w:t>
      </w:r>
      <w:r>
        <w:t xml:space="preserve">5–33.</w:t>
      </w:r>
      <w:r>
        <w:t xml:space="preserve"> </w:t>
      </w:r>
      <w:hyperlink r:id="rId87">
        <w:r>
          <w:rPr>
            <w:rStyle w:val="Hyperlink"/>
          </w:rPr>
          <w:t xml:space="preserve">https://doi.org/10.1080/07421222.1996.11518099</w:t>
        </w:r>
      </w:hyperlink>
    </w:p>
    <w:bookmarkEnd w:id="88"/>
    <w:bookmarkStart w:id="95" w:name="declarations"/>
    <w:p>
      <w:pPr>
        <w:pStyle w:val="Heading1"/>
      </w:pPr>
      <w:r>
        <w:t xml:space="preserve">Declarations</w:t>
      </w:r>
    </w:p>
    <w:bookmarkStart w:id="89" w:name="financial-support."/>
    <w:p>
      <w:pPr>
        <w:pStyle w:val="Heading4"/>
      </w:pPr>
      <w:r>
        <w:rPr>
          <w:rStyle w:val="SectionNumber"/>
        </w:rPr>
        <w:t xml:space="preserve">13.0.0.6</w:t>
      </w:r>
      <w:r>
        <w:tab/>
      </w:r>
      <w:r>
        <w:t xml:space="preserve">Financial support.</w:t>
      </w:r>
    </w:p>
    <w:p>
      <w:pPr>
        <w:pStyle w:val="FirstParagraph"/>
      </w:pPr>
      <w:r>
        <w:t xml:space="preserve">This research received no specific grant from</w:t>
      </w:r>
      <w:r>
        <w:t xml:space="preserve"> </w:t>
      </w:r>
      <w:r>
        <w:t xml:space="preserve">any funding agency, commercial or not-for-profit sectors.</w:t>
      </w:r>
    </w:p>
    <w:bookmarkEnd w:id="89"/>
    <w:bookmarkStart w:id="90" w:name="competing-interests."/>
    <w:p>
      <w:pPr>
        <w:pStyle w:val="Heading4"/>
      </w:pPr>
      <w:r>
        <w:rPr>
          <w:rStyle w:val="SectionNumber"/>
        </w:rPr>
        <w:t xml:space="preserve">13.0.0.7</w:t>
      </w:r>
      <w:r>
        <w:tab/>
      </w:r>
      <w:r>
        <w:t xml:space="preserve">Competing interests.</w:t>
      </w:r>
    </w:p>
    <w:p>
      <w:pPr>
        <w:pStyle w:val="FirstParagraph"/>
      </w:pPr>
      <w:r>
        <w:t xml:space="preserve">The author declares none.</w:t>
      </w:r>
    </w:p>
    <w:bookmarkEnd w:id="90"/>
    <w:bookmarkStart w:id="91" w:name="ethics-approval."/>
    <w:p>
      <w:pPr>
        <w:pStyle w:val="Heading4"/>
      </w:pPr>
      <w:r>
        <w:rPr>
          <w:rStyle w:val="SectionNumber"/>
        </w:rPr>
        <w:t xml:space="preserve">13.0.0.8</w:t>
      </w:r>
      <w:r>
        <w:tab/>
      </w:r>
      <w:r>
        <w:t xml:space="preserve">Ethics approval.</w:t>
      </w:r>
    </w:p>
    <w:p>
      <w:pPr>
        <w:pStyle w:val="FirstParagraph"/>
      </w:pPr>
      <w:r>
        <w:t xml:space="preserve">Not applicable. The study involves no human</w:t>
      </w:r>
      <w:r>
        <w:t xml:space="preserve"> </w:t>
      </w:r>
      <w:r>
        <w:t xml:space="preserve">participants, no animal subjects and no personal data; it analyses published</w:t>
      </w:r>
      <w:r>
        <w:t xml:space="preserve"> </w:t>
      </w:r>
      <w:r>
        <w:t xml:space="preserve">national legislation and its publisher’s own metadata.</w:t>
      </w:r>
    </w:p>
    <w:bookmarkEnd w:id="91"/>
    <w:bookmarkStart w:id="92" w:name="declaration-of-generative-ai-use."/>
    <w:p>
      <w:pPr>
        <w:pStyle w:val="Heading4"/>
      </w:pPr>
      <w:r>
        <w:rPr>
          <w:rStyle w:val="SectionNumber"/>
        </w:rPr>
        <w:t xml:space="preserve">13.0.0.9</w:t>
      </w:r>
      <w:r>
        <w:tab/>
      </w:r>
      <w:r>
        <w:t xml:space="preserve">Declaration of generative AI use.</w:t>
      </w:r>
    </w:p>
    <w:p>
      <w:pPr>
        <w:pStyle w:val="FirstParagraph"/>
      </w:pPr>
      <w:r>
        <w:rPr>
          <w:iCs/>
          <w:i/>
        </w:rPr>
        <w:t xml:space="preserve">Tool:</w:t>
      </w:r>
      <w:r>
        <w:t xml:space="preserve"> </w:t>
      </w:r>
      <w:r>
        <w:t xml:space="preserve">Claude Opus 5</w:t>
      </w:r>
      <w:r>
        <w:t xml:space="preserve"> </w:t>
      </w:r>
      <w:r>
        <w:t xml:space="preserve">(Anthropic).</w:t>
      </w:r>
      <w:r>
        <w:t xml:space="preserve"> </w:t>
      </w:r>
      <w:r>
        <w:rPr>
          <w:iCs/>
          <w:i/>
        </w:rPr>
        <w:t xml:space="preserve">How it was used:</w:t>
      </w:r>
      <w:r>
        <w:t xml:space="preserve"> </w:t>
      </w:r>
      <w:r>
        <w:t xml:space="preserve">to write the collection, analysis,</w:t>
      </w:r>
      <w:r>
        <w:t xml:space="preserve"> </w:t>
      </w:r>
      <w:r>
        <w:t xml:space="preserve">verification and figure scripts that produce every number reported here, to</w:t>
      </w:r>
      <w:r>
        <w:t xml:space="preserve"> </w:t>
      </w:r>
      <w:r>
        <w:t xml:space="preserve">draft and revise the manuscript, and to run adversarial checks against its own</w:t>
      </w:r>
      <w:r>
        <w:t xml:space="preserve"> </w:t>
      </w:r>
      <w:r>
        <w:t xml:space="preserve">claims.</w:t>
      </w:r>
      <w:r>
        <w:t xml:space="preserve"> </w:t>
      </w:r>
      <w:r>
        <w:rPr>
          <w:iCs/>
          <w:i/>
        </w:rPr>
        <w:t xml:space="preserve">Reason for use:</w:t>
      </w:r>
      <w:r>
        <w:t xml:space="preserve"> </w:t>
      </w:r>
      <w:r>
        <w:t xml:space="preserve">the study required retrieving and parsing the</w:t>
      </w:r>
      <w:r>
        <w:t xml:space="preserve"> </w:t>
      </w:r>
      <w:r>
        <w:t xml:space="preserve">metadata of the entire modern statute book under a five-second crawl delay and</w:t>
      </w:r>
      <w:r>
        <w:t xml:space="preserve"> </w:t>
      </w:r>
      <w:r>
        <w:t xml:space="preserve">auditing the result, which is not feasible by hand at that scale for a single</w:t>
      </w:r>
      <w:r>
        <w:t xml:space="preserve"> </w:t>
      </w:r>
      <w:r>
        <w:t xml:space="preserve">researcher. The author set the research question, directed the analysis,</w:t>
      </w:r>
      <w:r>
        <w:t xml:space="preserve"> </w:t>
      </w:r>
      <w:r>
        <w:t xml:space="preserve">verified the outputs against the underlying records, and is responsible for the</w:t>
      </w:r>
      <w:r>
        <w:t xml:space="preserve"> </w:t>
      </w:r>
      <w:r>
        <w:t xml:space="preserve">content.</w:t>
      </w:r>
    </w:p>
    <w:bookmarkEnd w:id="92"/>
    <w:bookmarkStart w:id="93" w:name="data-availability."/>
    <w:p>
      <w:pPr>
        <w:pStyle w:val="Heading4"/>
      </w:pPr>
      <w:r>
        <w:rPr>
          <w:rStyle w:val="SectionNumber"/>
        </w:rPr>
        <w:t xml:space="preserve">13.0.0.10</w:t>
      </w:r>
      <w:r>
        <w:tab/>
      </w:r>
      <w:r>
        <w:t xml:space="preserve">Data availability.</w:t>
      </w:r>
    </w:p>
    <w:p>
      <w:pPr>
        <w:pStyle w:val="FirstParagraph"/>
      </w:pPr>
      <w:r>
        <w:t xml:space="preserve">The collection, the analysis and the scripts</w:t>
      </w:r>
      <w:r>
        <w:t xml:space="preserve"> </w:t>
      </w:r>
      <w:r>
        <w:t xml:space="preserve">that reproduce every number and figure are openly available in a public</w:t>
      </w:r>
      <w:r>
        <w:t xml:space="preserve"> </w:t>
      </w:r>
      <w:r>
        <w:t xml:space="preserve">repository under a permissive licence. Its address names the author, so it is</w:t>
      </w:r>
      <w:r>
        <w:t xml:space="preserve"> </w:t>
      </w:r>
      <w:r>
        <w:t xml:space="preserve">given on the title page rather than here. The underlying metadata belongs to</w:t>
      </w:r>
      <w:r>
        <w:t xml:space="preserve"> </w:t>
      </w:r>
      <w:r>
        <w:rPr>
          <w:rStyle w:val="VerbatimChar"/>
        </w:rPr>
        <w:t xml:space="preserve">legislation.gov.uk</w:t>
      </w:r>
      <w:r>
        <w:t xml:space="preserve"> </w:t>
      </w:r>
      <w:r>
        <w:t xml:space="preserve">and is published by the Crown under the Open</w:t>
      </w:r>
      <w:r>
        <w:t xml:space="preserve"> </w:t>
      </w:r>
      <w:r>
        <w:t xml:space="preserve">Government Licence.</w:t>
      </w:r>
    </w:p>
    <w:bookmarkEnd w:id="93"/>
    <w:bookmarkStart w:id="94" w:name="a-note-on-the-subject."/>
    <w:p>
      <w:pPr>
        <w:pStyle w:val="Heading4"/>
      </w:pPr>
      <w:r>
        <w:rPr>
          <w:rStyle w:val="SectionNumber"/>
        </w:rPr>
        <w:t xml:space="preserve">13.0.0.11</w:t>
      </w:r>
      <w:r>
        <w:tab/>
      </w:r>
      <w:r>
        <w:t xml:space="preserve">A note on the subject.</w:t>
      </w:r>
    </w:p>
    <w:p>
      <w:pPr>
        <w:pStyle w:val="FirstParagraph"/>
      </w:pPr>
      <w:r>
        <w:t xml:space="preserve">This article measures a defect that</w:t>
      </w:r>
      <w:r>
        <w:t xml:space="preserve"> </w:t>
      </w:r>
      <w:r>
        <w:rPr>
          <w:rStyle w:val="VerbatimChar"/>
        </w:rPr>
        <w:t xml:space="preserve">legislation.gov.uk</w:t>
      </w:r>
      <w:r>
        <w:t xml:space="preserve"> </w:t>
      </w:r>
      <w:r>
        <w:t xml:space="preserve">discloses about itself. It is not an accusation.</w:t>
      </w:r>
      <w:r>
        <w:t xml:space="preserve"> </w:t>
      </w:r>
      <w:r>
        <w:t xml:space="preserve">Almost no comparable publisher discloses as much, which is what makes the</w:t>
      </w:r>
      <w:r>
        <w:t xml:space="preserve"> </w:t>
      </w:r>
      <w:r>
        <w:t xml:space="preserve">measurement possible at all, and the article’s argument is that disclosure of</w:t>
      </w:r>
      <w:r>
        <w:t xml:space="preserve"> </w:t>
      </w:r>
      <w:r>
        <w:t xml:space="preserve">this quality still leaves a reader unable to answer the question it raises.</w:t>
      </w:r>
    </w:p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Cited as a companion study so</w:t>
      </w:r>
      <w:r>
        <w:t xml:space="preserve"> </w:t>
      </w:r>
      <w:r>
        <w:t xml:space="preserve">this article can be read on its own; the corpus and analysis are openly</w:t>
      </w:r>
      <w:r>
        <w:t xml:space="preserve"> </w:t>
      </w:r>
      <w:r>
        <w:t xml:space="preserve">published.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legislation.gov.uk (2026), under the heading</w:t>
      </w:r>
      <w:r>
        <w:t xml:space="preserve"> </w:t>
      </w:r>
      <w:r>
        <w:t xml:space="preserve">‘</w:t>
      </w:r>
      <w:r>
        <w:t xml:space="preserve">Our editorial practice and timescales</w:t>
      </w:r>
      <w:r>
        <w:t xml:space="preserve">’</w:t>
      </w:r>
      <w:r>
        <w:t xml:space="preserve">. The heading matters: the same page</w:t>
      </w:r>
      <w:r>
        <w:t xml:space="preserve"> </w:t>
      </w:r>
      <w:r>
        <w:t xml:space="preserve">carries a separate section on legislation originating from the EU, and the</w:t>
      </w:r>
      <w:r>
        <w:t xml:space="preserve"> </w:t>
      </w:r>
      <w:r>
        <w:t xml:space="preserve">commitment quoted here sits outside it and is stated generally.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legislation.gov.uk (2026), same heading.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remaining</w:t>
      </w:r>
      <w:r>
        <w:t xml:space="preserve"> </w:t>
      </w:r>
      <w:r>
        <w:t xml:space="preserve">11 effects are recorded as in force without a date and cannot be</w:t>
      </w:r>
      <w:r>
        <w:t xml:space="preserve"> </w:t>
      </w:r>
      <w:r>
        <w:t xml:space="preserve">timed; they are counted in the affected totals and excluded from the duration</w:t>
      </w:r>
      <w:r>
        <w:t xml:space="preserve"> </w:t>
      </w:r>
      <w:r>
        <w:t xml:space="preserve">figures.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hyperlink" Id="rId87" Target="https://doi.org/10.1080/07421222.1996.11518099" TargetMode="External" /><Relationship Type="http://schemas.openxmlformats.org/officeDocument/2006/relationships/hyperlink" Id="rId83" Target="https://doi.org/10.1080/10580530.2012.716740" TargetMode="External" /><Relationship Type="http://schemas.openxmlformats.org/officeDocument/2006/relationships/hyperlink" Id="rId85" Target="https://doi.org/10.1145/2964909" TargetMode="External" /><Relationship Type="http://schemas.openxmlformats.org/officeDocument/2006/relationships/hyperlink" Id="rId82" Target="https://doi.org/10.1145/3458723" TargetMode="External" /><Relationship Type="http://schemas.openxmlformats.org/officeDocument/2006/relationships/hyperlink" Id="rId84" Target="https://www.legislation.gov.uk/understanding-legislation" TargetMode="External" /><Relationship Type="http://schemas.openxmlformats.org/officeDocument/2006/relationships/hyperlink" Id="rId86" Target="https://www.w3.org/TR/prov-d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doi.org/10.1080/07421222.1996.11518099" TargetMode="External" /><Relationship Type="http://schemas.openxmlformats.org/officeDocument/2006/relationships/hyperlink" Id="rId83" Target="https://doi.org/10.1080/10580530.2012.716740" TargetMode="External" /><Relationship Type="http://schemas.openxmlformats.org/officeDocument/2006/relationships/hyperlink" Id="rId85" Target="https://doi.org/10.1145/2964909" TargetMode="External" /><Relationship Type="http://schemas.openxmlformats.org/officeDocument/2006/relationships/hyperlink" Id="rId82" Target="https://doi.org/10.1145/3458723" TargetMode="External" /><Relationship Type="http://schemas.openxmlformats.org/officeDocument/2006/relationships/hyperlink" Id="rId84" Target="https://www.legislation.gov.uk/understanding-legislation" TargetMode="External" /><Relationship Type="http://schemas.openxmlformats.org/officeDocument/2006/relationships/hyperlink" Id="rId86" Target="https://www.w3.org/TR/prov-d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Ninety-Three Per Cent of a Backlog Is Not a Backlog: Reading a Public Publisher’s Own Quality Signal</dc:title>
  <dc:creator/>
  <cp:keywords/>
  <dcterms:created xsi:type="dcterms:W3CDTF">2026-08-25T15:02:43Z</dcterms:created>
  <dcterms:modified xsi:type="dcterms:W3CDTF">2026-08-25T15:02:43Z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