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How Much Do Statutes Disagree?</w:t>
      </w:r>
      <w:r>
        <w:br/>
      </w:r>
      <w:r>
        <w:rPr>
          <w:bCs/>
          <w:b/>
        </w:rPr>
        <w:t xml:space="preserve">Measuring Definitional Fragmentation Across a Legal System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Drafting manuals agree that a term should carry a stable meaning across a</w:t>
      </w:r>
      <w:r>
        <w:t xml:space="preserve"> </w:t>
      </w:r>
      <w:r>
        <w:t xml:space="preserve">legal system. Whether real systems comply has never been measured, because</w:t>
      </w:r>
      <w:r>
        <w:t xml:space="preserve"> </w:t>
      </w:r>
      <w:r>
        <w:t xml:space="preserve">settling it requires every statutory definition in a jurisdiction, extracted</w:t>
      </w:r>
      <w:r>
        <w:t xml:space="preserve"> </w:t>
      </w:r>
      <w:r>
        <w:t xml:space="preserve">from the instrument that made it. This article supplies that measurement for</w:t>
      </w:r>
      <w:r>
        <w:t xml:space="preserve"> </w:t>
      </w:r>
      <w:r>
        <w:t xml:space="preserve">Saudi Arabia — 290 instruments, 1</w:t>
      </w:r>
      <w:r>
        <w:t xml:space="preserve">,</w:t>
      </w:r>
      <w:r>
        <w:t xml:space="preserve">920 defined terms,</w:t>
      </w:r>
      <w:r>
        <w:t xml:space="preserve"> </w:t>
      </w:r>
      <w:r>
        <w:t xml:space="preserve">3</w:t>
      </w:r>
      <w:r>
        <w:t xml:space="preserve">,</w:t>
      </w:r>
      <w:r>
        <w:t xml:space="preserve">318 definitions — and argues that the measurement is worth less</w:t>
      </w:r>
      <w:r>
        <w:t xml:space="preserve"> </w:t>
      </w:r>
      <w:r>
        <w:t xml:space="preserve">than the two 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definitions, where an instrument defines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itself,</w:t>
      </w:r>
      <w:r>
        <w:t xml:space="preserve"> </w:t>
      </w:r>
      <w:r>
        <w:t xml:space="preserve">from substantive ones; indexical definitions are the most repeated and cannot</w:t>
      </w:r>
      <w:r>
        <w:t xml:space="preserve"> </w:t>
      </w:r>
      <w:r>
        <w:t xml:space="preserve">disagree. The second separates lexical from substantive divergence:</w:t>
      </w:r>
      <w:r>
        <w:t xml:space="preserve"> </w:t>
      </w:r>
      <w:r>
        <w:t xml:space="preserve">61.5 per cent of shared substantive terms are worded</w:t>
      </w:r>
      <w:r>
        <w:t xml:space="preserve"> </w:t>
      </w:r>
      <w:r>
        <w:t xml:space="preserve">differently, and most of that is paraphrase. Reading the 12 most</w:t>
      </w:r>
      <w:r>
        <w:t xml:space="preserve"> </w:t>
      </w:r>
      <w:r>
        <w:t xml:space="preserve">widely shared terms yields 4 genuine conflicts. Fragmentation is</w:t>
      </w:r>
      <w:r>
        <w:t xml:space="preserve"> </w:t>
      </w:r>
      <w:r>
        <w:t xml:space="preserve">real but narrow, and therefore a tractable target for drafting reform.</w:t>
      </w:r>
    </w:p>
    <w:bookmarkEnd w:id="20"/>
    <w:bookmarkStart w:id="2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statutory definitions; legislative drafting; interpretation; Saudi Arabia; legal corpora; terminological consistency</w:t>
      </w:r>
    </w:p>
    <w:bookmarkEnd w:id="21"/>
    <w:bookmarkStart w:id="22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8,002 words, including footnotes.</w:t>
      </w:r>
    </w:p>
    <w:bookmarkEnd w:id="22"/>
    <w:bookmarkStart w:id="2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3"/>
    <w:bookmarkStart w:id="24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4"/>
    <w:bookmarkStart w:id="25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5"/>
    <w:bookmarkStart w:id="2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6"/>
    <w:bookmarkStart w:id="3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7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9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30"/>
    <w:bookmarkStart w:id="31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Two companion manuscripts drawing on the same corpus are under review</w:t>
      </w:r>
      <w:r>
        <w:t xml:space="preserve"> </w:t>
      </w:r>
      <w:r>
        <w:t xml:space="preserve">elsewhere: one describing the corpus as a resource, and one analysing its</w:t>
      </w:r>
      <w:r>
        <w:t xml:space="preserve"> </w:t>
      </w:r>
      <w:r>
        <w:t xml:space="preserve">citation network. Neither overlaps with the present article’s contribution,</w:t>
      </w:r>
      <w:r>
        <w:t xml:space="preserve"> </w:t>
      </w:r>
      <w:r>
        <w:t xml:space="preserve">and neither is under consideration by this journal.</w:t>
      </w:r>
    </w:p>
    <w:bookmarkEnd w:id="31"/>
    <w:bookmarkStart w:id="32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doi.org/10.5281/zenodo.22019182" TargetMode="External" /><Relationship Type="http://schemas.openxmlformats.org/officeDocument/2006/relationships/hyperlink" Id="rId28" Target="https://doi.org/10.5281/zenodo.22019183" TargetMode="External" /><Relationship Type="http://schemas.openxmlformats.org/officeDocument/2006/relationships/hyperlink" Id="rId27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5281/zenodo.22019182" TargetMode="External" /><Relationship Type="http://schemas.openxmlformats.org/officeDocument/2006/relationships/hyperlink" Id="rId28" Target="https://doi.org/10.5281/zenodo.22019183" TargetMode="External" /><Relationship Type="http://schemas.openxmlformats.org/officeDocument/2006/relationships/hyperlink" Id="rId27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2026-08-29T18:46:52Z</dcterms:created>
  <dcterms:modified xsi:type="dcterms:W3CDTF">2026-08-29T18:46:52Z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