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How Much Do Statutes Disagree?</w:t>
      </w:r>
      <w:r>
        <w:br/>
      </w:r>
      <w:r>
        <w:rPr>
          <w:bCs/>
          <w:b/>
        </w:rPr>
        <w:t xml:space="preserve">Measuring Definitional Fragmentation Across a Legal System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system. Whether real systems comply has never been measured, because</w:t>
      </w:r>
      <w:r>
        <w:t xml:space="preserve"> </w:t>
      </w:r>
      <w:r>
        <w:t xml:space="preserve">settling it requires every statutory definition in a jurisdiction, extracted</w:t>
      </w:r>
      <w:r>
        <w:t xml:space="preserve"> </w:t>
      </w:r>
      <w:r>
        <w:t xml:space="preserve">from the instrument that made it. This article supplies that measurement for</w:t>
      </w:r>
      <w:r>
        <w:t xml:space="preserve"> </w:t>
      </w:r>
      <w:r>
        <w:t xml:space="preserve">Saudi Arabia — 290 instruments, 1</w:t>
      </w:r>
      <w:r>
        <w:t xml:space="preserve">,</w:t>
      </w:r>
      <w:r>
        <w:t xml:space="preserve">920 defined terms,</w:t>
      </w:r>
      <w:r>
        <w:t xml:space="preserve"> </w:t>
      </w:r>
      <w:r>
        <w:t xml:space="preserve">3</w:t>
      </w:r>
      <w:r>
        <w:t xml:space="preserve">,</w:t>
      </w:r>
      <w:r>
        <w:t xml:space="preserve">318 definitions — and argues that the measurement is worth less</w:t>
      </w:r>
      <w:r>
        <w:t xml:space="preserve"> </w:t>
      </w:r>
      <w:r>
        <w:t xml:space="preserve">than the two 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</w:t>
      </w:r>
      <w:r>
        <w:t xml:space="preserve"> </w:t>
      </w:r>
      <w:r>
        <w:t xml:space="preserve">from substantive ones; indexical definitions are the most repeated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yields 4 genuine conflicts. Fragmentation is</w:t>
      </w:r>
      <w:r>
        <w:t xml:space="preserve"> </w:t>
      </w:r>
      <w:r>
        <w:t xml:space="preserve">real but narrow, and therefore a tractable target for drafting reform.</w:t>
      </w:r>
    </w:p>
    <w:bookmarkEnd w:id="20"/>
    <w:bookmarkStart w:id="2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statutory definitions; legislative drafting; interpretation; Saudi Arabia; legal corpora; terminological consistency</w:t>
      </w:r>
    </w:p>
    <w:bookmarkEnd w:id="21"/>
    <w:bookmarkStart w:id="22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8,026 words, including footnotes.</w: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3"/>
    <w:bookmarkStart w:id="24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4"/>
    <w:bookmarkStart w:id="25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5"/>
    <w:bookmarkStart w:id="2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6"/>
    <w:bookmarkStart w:id="3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7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9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30"/>
    <w:bookmarkStart w:id="31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31"/>
    <w:bookmarkStart w:id="32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doi.org/10.5281/zenodo.22019182" TargetMode="External" /><Relationship Type="http://schemas.openxmlformats.org/officeDocument/2006/relationships/hyperlink" Id="rId28" Target="https://doi.org/10.5281/zenodo.22019183" TargetMode="External" /><Relationship Type="http://schemas.openxmlformats.org/officeDocument/2006/relationships/hyperlink" Id="rId27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5281/zenodo.22019182" TargetMode="External" /><Relationship Type="http://schemas.openxmlformats.org/officeDocument/2006/relationships/hyperlink" Id="rId28" Target="https://doi.org/10.5281/zenodo.22019183" TargetMode="External" /><Relationship Type="http://schemas.openxmlformats.org/officeDocument/2006/relationships/hyperlink" Id="rId27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2026-08-29T19:05:16Z</dcterms:created>
  <dcterms:modified xsi:type="dcterms:W3CDTF">2026-08-29T19:05:16Z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