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t xml:space="preserve"> </w:t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Almohammedi,</w:t>
      </w:r>
      <w:r>
        <w:t xml:space="preserve"> </w:t>
      </w:r>
      <w:r>
        <w:t xml:space="preserve">Independent</w:t>
      </w:r>
      <w:r>
        <w:t xml:space="preserve"> </w:t>
      </w:r>
      <w:r>
        <w:t xml:space="preserve">Researcher,</w:t>
      </w:r>
      <w:r>
        <w:t xml:space="preserve"> </w:t>
      </w:r>
      <w:r>
        <w:rPr>
          <w:rStyle w:val="VerbatimChar"/>
        </w:rPr>
        <w:t xml:space="preserve">abdullah.m.almohammedi@gmail.com</w:t>
      </w:r>
      <w:r>
        <w:t xml:space="preserve">,</w:t>
      </w:r>
      <w:r>
        <w:t xml:space="preserve"> </w:t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models grounded in statutory text are built directly on those</w:t>
      </w:r>
      <w:r>
        <w:t xml:space="preserve"> </w:t>
      </w:r>
      <w:r>
        <w:t xml:space="preserve">publications. All of it assumes the official record is available when needed</w:t>
      </w:r>
      <w:r>
        <w:t xml:space="preserve"> </w:t>
      </w:r>
      <w:r>
        <w:t xml:space="preserve">and internally consistent when read. That assumption is rarely tested, because</w:t>
      </w:r>
      <w:r>
        <w:t xml:space="preserve"> </w:t>
      </w:r>
      <w:r>
        <w:t xml:space="preserve">testing it requires a contemporaneous account of what each retrieval attempt</w:t>
      </w:r>
      <w:r>
        <w:t xml:space="preserve"> </w:t>
      </w:r>
      <w:r>
        <w:t xml:space="preserve">returned. This article reports one. While building a corpus of Saudi Arabian</w:t>
      </w:r>
      <w:r>
        <w:t xml:space="preserve"> </w:t>
      </w:r>
      <w:r>
        <w:t xml:space="preserve">legislation, every verified article was annotated with the sources consulted</w:t>
      </w:r>
      <w:r>
        <w:t xml:space="preserve"> </w:t>
      </w:r>
      <w:r>
        <w:t xml:space="preserve">and how they were reconciled, and every instrument hand-assigned a</w:t>
      </w:r>
      <w:r>
        <w:t xml:space="preserve"> </w:t>
      </w:r>
      <w:r>
        <w:t xml:space="preserve">verification tier. Across the 11,704 articles whose record names its sources,</w:t>
      </w:r>
      <w:r>
        <w:t xml:space="preserve"> </w:t>
      </w:r>
      <w:r>
        <w:t xml:space="preserve">the official source was unreachable for 20.0 per cent, covering 28.0 per cent</w:t>
      </w:r>
      <w:r>
        <w:t xml:space="preserve"> </w:t>
      </w:r>
      <w:r>
        <w:t xml:space="preserve">of instruments; 20.9 per cent came through a web archive, two thirds of those</w:t>
      </w:r>
      <w:r>
        <w:t xml:space="preserve"> </w:t>
      </w:r>
      <w:r>
        <w:t xml:space="preserve">coinciding with a live source that would not respond; 8.2 per cent required</w:t>
      </w:r>
      <w:r>
        <w:t xml:space="preserve"> </w:t>
      </w:r>
      <w:r>
        <w:t xml:space="preserve">optical reconstruction; and 4.9 per cent record a defect in the official text.</w:t>
      </w:r>
      <w:r>
        <w:t xml:space="preserve"> </w:t>
      </w:r>
      <w:r>
        <w:t xml:space="preserve">Between a sixth and a quarter of the corpus, depending on the unit counted,</w:t>
      </w:r>
      <w:r>
        <w:t xml:space="preserve"> </w:t>
      </w:r>
      <w:r>
        <w:t xml:space="preserve">rests on evidence weaker than a cross-verified official primary. In four</w:t>
      </w:r>
      <w:r>
        <w:t xml:space="preserve"> </w:t>
      </w:r>
      <w:r>
        <w:t xml:space="preserve">instruments the official record contradicts itself: the provision the portal</w:t>
      </w:r>
      <w:r>
        <w:t xml:space="preserve"> </w:t>
      </w:r>
      <w:r>
        <w:t xml:space="preserve">displays and the amendment log it publishes do not agree. Three conclusions</w:t>
      </w:r>
      <w:r>
        <w:t xml:space="preserve"> </w:t>
      </w:r>
      <w:r>
        <w:t xml:space="preserve">follow. Web archives are load-bearing infrastructure for public-record</w:t>
      </w:r>
      <w:r>
        <w:t xml:space="preserve"> </w:t>
      </w:r>
      <w:r>
        <w:t xml:space="preserve">research, holding that position with no mandate and no guarantee of</w:t>
      </w:r>
      <w:r>
        <w:t xml:space="preserve"> </w:t>
      </w:r>
      <w:r>
        <w:t xml:space="preserve">permanence. Availability and internal consistency are distinct properties</w:t>
      </w:r>
      <w:r>
        <w:t xml:space="preserve"> </w:t>
      </w:r>
      <w:r>
        <w:t xml:space="preserve">needing separate measurement. And a public dataset should carry the strength</w:t>
      </w:r>
      <w:r>
        <w:t xml:space="preserve"> </w:t>
      </w:r>
      <w:r>
        <w:t xml:space="preserve">of the evidence behind each record, for which we propose a five-field schema.</w:t>
      </w:r>
    </w:p>
    <w:p>
      <w:pPr>
        <w:pStyle w:val="BodyText"/>
      </w:pPr>
      <w:r>
        <w:rPr>
          <w:bCs/>
          <w:b/>
        </w:rPr>
        <w:t xml:space="preserve">Policy Significance Statement</w:t>
      </w:r>
    </w:p>
    <w:p>
      <w:pPr>
        <w:pStyle w:val="BodyText"/>
      </w:pPr>
      <w:r>
        <w:t xml:space="preserve">Governments publish their law online, and compliance systems, regulatory</w:t>
      </w:r>
      <w:r>
        <w:t xml:space="preserve"> </w:t>
      </w:r>
      <w:r>
        <w:t xml:space="preserve">technology and AI tools now consume those publications directly, without a</w:t>
      </w:r>
      <w:r>
        <w:t xml:space="preserve"> </w:t>
      </w:r>
      <w:r>
        <w:t xml:space="preserve">professional reader who might notice a problem. This article measures whether</w:t>
      </w:r>
      <w:r>
        <w:t xml:space="preserve"> </w:t>
      </w:r>
      <w:r>
        <w:t xml:space="preserve">one state’s official legal record was available and internally consistent when</w:t>
      </w:r>
      <w:r>
        <w:t xml:space="preserve"> </w:t>
      </w:r>
      <w:r>
        <w:t xml:space="preserve">someone tried to use it at scale. For a fifth of articles the official source</w:t>
      </w:r>
      <w:r>
        <w:t xml:space="preserve"> </w:t>
      </w:r>
      <w:r>
        <w:t xml:space="preserve">could not be reached; a fifth arrived through a web archive; one instrument in</w:t>
      </w:r>
      <w:r>
        <w:t xml:space="preserve"> </w:t>
      </w:r>
      <w:r>
        <w:t xml:space="preserve">seven had to be read as images; and in four instruments the record contradicts</w:t>
      </w:r>
      <w:r>
        <w:t xml:space="preserve"> </w:t>
      </w:r>
      <w:r>
        <w:t xml:space="preserve">itself. Nothing published alongside the text tells a user which case they are</w:t>
      </w:r>
      <w:r>
        <w:t xml:space="preserve"> </w:t>
      </w:r>
      <w:r>
        <w:t xml:space="preserve">in. We propose a five-field provenance schema that any publisher of official</w:t>
      </w:r>
      <w:r>
        <w:t xml:space="preserve"> </w:t>
      </w:r>
      <w:r>
        <w:t xml:space="preserve">data can populate at the point of collection, and which would make the</w:t>
      </w:r>
      <w:r>
        <w:t xml:space="preserve"> </w:t>
      </w:r>
      <w:r>
        <w:t xml:space="preserve">difference visible at negligible cost.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9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5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5"/>
    <w:bookmarkStart w:id="26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6"/>
    <w:bookmarkStart w:id="27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7"/>
    <w:bookmarkStart w:id="28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8"/>
    <w:bookmarkStart w:id="29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9"/>
    <w:bookmarkStart w:id="33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3"/>
    <w:bookmarkStart w:id="36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5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6"/>
    <w:bookmarkStart w:id="38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8"/>
    <w:bookmarkEnd w:id="39"/>
    <w:bookmarkStart w:id="43" w:name="sec:method"/>
    <w:p>
      <w:pPr>
        <w:pStyle w:val="Heading1"/>
      </w:pPr>
      <w:r>
        <w:t xml:space="preserve">Data and method</w:t>
      </w:r>
    </w:p>
    <w:bookmarkStart w:id="40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40"/>
    <w:bookmarkStart w:id="41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1"/>
    <w:bookmarkStart w:id="42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2"/>
    <w:bookmarkEnd w:id="43"/>
    <w:bookmarkStart w:id="45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4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4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5"/>
    <w:bookmarkStart w:id="48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6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6"/>
    <w:bookmarkStart w:id="47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7"/>
    <w:bookmarkEnd w:id="48"/>
    <w:bookmarkStart w:id="50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50"/>
    <w:bookmarkStart w:id="52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1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1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2"/>
    <w:bookmarkStart w:id="61" w:name="what-follows"/>
    <w:p>
      <w:pPr>
        <w:pStyle w:val="Heading1"/>
      </w:pPr>
      <w:r>
        <w:t xml:space="preserve">What follows</w:t>
      </w:r>
    </w:p>
    <w:bookmarkStart w:id="5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3"/>
    <w:bookmarkStart w:id="5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4"/>
    <w:bookmarkStart w:id="5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5"/>
    <w:bookmarkStart w:id="56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6"/>
    <w:bookmarkStart w:id="57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7"/>
    <w:bookmarkStart w:id="58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8"/>
    <w:bookmarkStart w:id="59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9"/>
    <w:bookmarkStart w:id="60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60"/>
    <w:bookmarkEnd w:id="61"/>
    <w:bookmarkStart w:id="62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2"/>
    <w:bookmarkStart w:id="68" w:name="limitations"/>
    <w:p>
      <w:pPr>
        <w:pStyle w:val="Heading1"/>
      </w:pPr>
      <w:r>
        <w:t xml:space="preserve">Limitations</w:t>
      </w:r>
    </w:p>
    <w:bookmarkStart w:id="63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3"/>
    <w:bookmarkStart w:id="64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4"/>
    <w:bookmarkStart w:id="65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5"/>
    <w:bookmarkStart w:id="66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6"/>
    <w:bookmarkStart w:id="67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9"/>
    <w:bookmarkStart w:id="72" w:name="figure-alt-text"/>
    <w:p>
      <w:pPr>
        <w:pStyle w:val="Heading1"/>
      </w:pPr>
      <w:r>
        <w:t xml:space="preserve">Figure alt text</w:t>
      </w:r>
    </w:p>
    <w:p>
      <w:pPr>
        <w:pStyle w:val="FirstParagraph"/>
      </w:pPr>
      <w:r>
        <w:t xml:space="preserve">Supplied for accessibility, as the publisher’s artwork guidance requires. Each</w:t>
      </w:r>
      <w:r>
        <w:t xml:space="preserve"> </w:t>
      </w:r>
      <w:r>
        <w:t xml:space="preserve">description carries the values a reader of the image would take from it, so</w:t>
      </w:r>
      <w:r>
        <w:t xml:space="preserve"> </w:t>
      </w:r>
      <w:r>
        <w:t xml:space="preserve">that nothing in the figures is available only visually.</w:t>
      </w:r>
    </w:p>
    <w:bookmarkStart w:id="70" w:name="figure-1."/>
    <w:p>
      <w:pPr>
        <w:pStyle w:val="Heading4"/>
      </w:pPr>
      <w:r>
        <w:t xml:space="preserve">Figure 1.</w:t>
      </w:r>
    </w:p>
    <w:p>
      <w:pPr>
        <w:pStyle w:val="FirstParagraph"/>
      </w:pPr>
      <w:r>
        <w:t xml:space="preserve">A horizontal bar chart with five rows, each row showing</w:t>
      </w:r>
      <w:r>
        <w:t xml:space="preserve"> </w:t>
      </w:r>
      <w:r>
        <w:t xml:space="preserve">two bars: the share of the 11,704 articles affected and the share of</w:t>
      </w:r>
      <w:r>
        <w:t xml:space="preserve"> </w:t>
      </w:r>
      <w:r>
        <w:t xml:space="preserve">instruments affected. From the bottom: a defect in the official source, 4.9 per</w:t>
      </w:r>
      <w:r>
        <w:t xml:space="preserve"> </w:t>
      </w:r>
      <w:r>
        <w:t xml:space="preserve">cent of articles and 6.5 per cent of instruments; optical or visual</w:t>
      </w:r>
      <w:r>
        <w:t xml:space="preserve"> </w:t>
      </w:r>
      <w:r>
        <w:t xml:space="preserve">reconstruction needed, 8.2 and 14.0; a single source only, 10.2 and 10.0; the</w:t>
      </w:r>
      <w:r>
        <w:t xml:space="preserve"> </w:t>
      </w:r>
      <w:r>
        <w:t xml:space="preserve">official source unreachable, 20.0 and 28.0; reached through a web archive, 20.9</w:t>
      </w:r>
      <w:r>
        <w:t xml:space="preserve"> </w:t>
      </w:r>
      <w:r>
        <w:t xml:space="preserve">and 28.0. The instrument share exceeds the article share in every row except</w:t>
      </w:r>
      <w:r>
        <w:t xml:space="preserve"> </w:t>
      </w:r>
      <w:r>
        <w:t xml:space="preserve">single-source-only, so the friction falls disproportionately on small</w:t>
      </w:r>
      <w:r>
        <w:t xml:space="preserve"> </w:t>
      </w:r>
      <w:r>
        <w:t xml:space="preserve">instruments.</w:t>
      </w:r>
    </w:p>
    <w:bookmarkEnd w:id="70"/>
    <w:bookmarkStart w:id="71" w:name="figure-2."/>
    <w:p>
      <w:pPr>
        <w:pStyle w:val="Heading4"/>
      </w:pPr>
      <w:r>
        <w:t xml:space="preserve">Figure 2.</w:t>
      </w:r>
    </w:p>
    <w:p>
      <w:pPr>
        <w:pStyle w:val="FirstParagraph"/>
      </w:pPr>
      <w:r>
        <w:t xml:space="preserve">A single horizontal bar divided into four segments,</w:t>
      </w:r>
      <w:r>
        <w:t xml:space="preserve"> </w:t>
      </w:r>
      <w:r>
        <w:t xml:space="preserve">shaded from dark to light along one hue because the categories are ordered from</w:t>
      </w:r>
      <w:r>
        <w:t xml:space="preserve"> </w:t>
      </w:r>
      <w:r>
        <w:t xml:space="preserve">strongest to weakest evidence. Two or more agreeing official sources, 64.2 per</w:t>
      </w:r>
      <w:r>
        <w:t xml:space="preserve"> </w:t>
      </w:r>
      <w:r>
        <w:t xml:space="preserve">cent of articles; one official source cross-checked against a secondary, 18.9</w:t>
      </w:r>
      <w:r>
        <w:t xml:space="preserve"> </w:t>
      </w:r>
      <w:r>
        <w:t xml:space="preserve">per cent; the official source unreachable and secondary sources only, 4.5 per</w:t>
      </w:r>
      <w:r>
        <w:t xml:space="preserve"> </w:t>
      </w:r>
      <w:r>
        <w:t xml:space="preserve">cent; a single source or evidence that varies within the instrument, 12.5 per</w:t>
      </w:r>
      <w:r>
        <w:t xml:space="preserve"> </w:t>
      </w:r>
      <w:r>
        <w:t xml:space="preserve">cent. The last two segments together, 17.0 per cent, are the articles with no</w:t>
      </w:r>
      <w:r>
        <w:t xml:space="preserve"> </w:t>
      </w:r>
      <w:r>
        <w:t xml:space="preserve">cross-verified official primary source.</w:t>
      </w:r>
    </w:p>
    <w:bookmarkEnd w:id="71"/>
    <w:bookmarkEnd w:id="72"/>
    <w:bookmarkStart w:id="83" w:name="declarations"/>
    <w:p>
      <w:pPr>
        <w:pStyle w:val="Heading1"/>
      </w:pPr>
      <w:r>
        <w:t xml:space="preserve">Declarations</w:t>
      </w:r>
    </w:p>
    <w:bookmarkStart w:id="73" w:name="financial-support."/>
    <w:p>
      <w:pPr>
        <w:pStyle w:val="Heading4"/>
      </w:pPr>
      <w:r>
        <w:t xml:space="preserve">Financial support.</w:t>
      </w:r>
    </w:p>
    <w:p>
      <w:pPr>
        <w:pStyle w:val="FirstParagraph"/>
      </w:pPr>
      <w:r>
        <w:t xml:space="preserve">This research received no specific grant from</w:t>
      </w:r>
      <w:r>
        <w:t xml:space="preserve"> </w:t>
      </w:r>
      <w:r>
        <w:t xml:space="preserve">any funding agency, commercial or not-for-profit sectors.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none.</w:t>
      </w:r>
    </w:p>
    <w:bookmarkEnd w:id="74"/>
    <w:bookmarkStart w:id="75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75"/>
    <w:bookmarkStart w:id="76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76"/>
    <w:bookmarkStart w:id="77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7"/>
    <w:bookmarkStart w:id="81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78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80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81"/>
    <w:bookmarkStart w:id="82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5281/zenodo.22019182" TargetMode="External" /><Relationship Type="http://schemas.openxmlformats.org/officeDocument/2006/relationships/hyperlink" Id="rId79" Target="https://doi.org/10.5281/zenodo.22019183" TargetMode="External" /><Relationship Type="http://schemas.openxmlformats.org/officeDocument/2006/relationships/hyperlink" Id="rId78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>Abdullah Almohammedi, Independent Researcher, abdullah.m.almohammedi@gmail.com, ORCID: 0009-0001-0832-0995</dc:creator>
  <cp:keywords/>
  <dcterms:created xsi:type="dcterms:W3CDTF">2026-08-21T09:14:01Z</dcterms:created>
  <dcterms:modified xsi:type="dcterms:W3CDTF">2026-08-21T09:14:01Z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