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Counts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Establishment?</w:t>
      </w:r>
      <w:r>
        <w:br/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Counts as an Establishment?</w:t>
      </w:r>
      <w:r>
        <w:br/>
      </w:r>
      <w:r>
        <w:rPr>
          <w:bCs/>
          <w:b/>
        </w:rPr>
        <w:t xml:space="preserve">Definitional Fragmentation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sole trader with no employees carries on an economic activity. Under the</w:t>
      </w:r>
      <w:r>
        <w:t xml:space="preserve"> </w:t>
      </w:r>
      <w:r>
        <w:t xml:space="preserve">Competition Law that makes her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; under the Labour Law</w:t>
      </w:r>
      <w:r>
        <w:t xml:space="preserve"> </w:t>
      </w:r>
      <w:r>
        <w:t xml:space="preserve">it does not, because she employs nobody for wages. Both statutes define the</w:t>
      </w:r>
      <w:r>
        <w:t xml:space="preserve"> </w:t>
      </w:r>
      <w:r>
        <w:t xml:space="preserve">same Arabic word, and they define it differently. How often does this</w:t>
      </w:r>
      <w:r>
        <w:t xml:space="preserve"> </w:t>
      </w:r>
      <w:r>
        <w:t xml:space="preserve">happen, and does it matter? The question has been argued from examples</w:t>
      </w:r>
      <w:r>
        <w:t xml:space="preserve"> </w:t>
      </w:r>
      <w:r>
        <w:t xml:space="preserve">because the evidence to answer it has not existed. Using a machine-readable</w:t>
      </w:r>
      <w:r>
        <w:t xml:space="preserve"> </w:t>
      </w:r>
      <w:r>
        <w:t xml:space="preserve">corpus of 290 Saudi legislative instruments carrying 1,920 defined terms and</w:t>
      </w:r>
      <w:r>
        <w:t xml:space="preserve"> </w:t>
      </w:r>
      <w:r>
        <w:t xml:space="preserve">3,318 definitions, this article measures definitional fragmentation across a</w:t>
      </w:r>
      <w:r>
        <w:t xml:space="preserve"> </w:t>
      </w:r>
      <w:r>
        <w:t xml:space="preserve">whole legal system, and argues that the measurement is worth less than the</w:t>
      </w:r>
      <w:r>
        <w:t xml:space="preserve"> </w:t>
      </w:r>
      <w:r>
        <w:t xml:space="preserve">two 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 — an instrument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 — from</w:t>
      </w:r>
      <w:r>
        <w:t xml:space="preserve"> </w:t>
      </w:r>
      <w:r>
        <w:t xml:space="preserve">substantive ones; indexical definitions are the most repeated in the corpus</w:t>
      </w:r>
      <w:r>
        <w:t xml:space="preserve"> </w:t>
      </w:r>
      <w:r>
        <w:t xml:space="preserve">and cannot disagree. The second separates lexical from substantive</w:t>
      </w:r>
      <w:r>
        <w:t xml:space="preserve"> </w:t>
      </w:r>
      <w:r>
        <w:t xml:space="preserve">divergence: 61.5 per cent of shared substantive terms are worded</w:t>
      </w:r>
      <w:r>
        <w:t xml:space="preserve"> </w:t>
      </w:r>
      <w:r>
        <w:t xml:space="preserve">differently, and most of that is paraphrase. Reading the twelve most widely</w:t>
      </w:r>
      <w:r>
        <w:t xml:space="preserve"> </w:t>
      </w:r>
      <w:r>
        <w:t xml:space="preserve">shared terms across every instrument that defines them yields four genuine</w:t>
      </w:r>
      <w:r>
        <w:t xml:space="preserve"> </w:t>
      </w:r>
      <w:r>
        <w:t xml:space="preserve">conflicts. Definitional fragmentation in Saudi legislation is therefore real</w:t>
      </w:r>
      <w:r>
        <w:t xml:space="preserve"> </w:t>
      </w:r>
      <w:r>
        <w:t xml:space="preserve">but narrow — and, being narrow, it is a tractable target for drafting</w:t>
      </w:r>
      <w:r>
        <w:t xml:space="preserve"> </w:t>
      </w:r>
      <w:r>
        <w:t xml:space="preserve">reform rather than a structural defect.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Consider a woman who sells handmade furniture from a workshop she owns and</w:t>
      </w:r>
      <w:r>
        <w:t xml:space="preserve"> </w:t>
      </w:r>
      <w:r>
        <w:t xml:space="preserve">runs alone. She has no employees. Whether she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 and drafters are warned about it. The</w:t>
      </w:r>
      <w:r>
        <w:t xml:space="preserve"> </w:t>
      </w:r>
      <w:r>
        <w:t xml:space="preserve">standard guidance in legislative drafting is that a term should carry a</w:t>
      </w:r>
      <w:r>
        <w:t xml:space="preserve"> </w:t>
      </w:r>
      <w:r>
        <w:t xml:space="preserve">stable meaning across a legal system, that definitions should not multiply</w:t>
      </w:r>
      <w:r>
        <w:t xml:space="preserve"> </w:t>
      </w:r>
      <w:r>
        <w:t xml:space="preserve">without reason, and that a drafter departing from an established definition</w:t>
      </w:r>
      <w:r>
        <w:t xml:space="preserve"> </w:t>
      </w:r>
      <w:r>
        <w:t xml:space="preserve">should know that he is departing from it. What the guidance has never had is</w:t>
      </w:r>
      <w:r>
        <w:t xml:space="preserve"> </w:t>
      </w:r>
      <w:r>
        <w:t xml:space="preserve">evidence about how far real legal systems comply. Discussion proceeds by</w:t>
      </w:r>
      <w:r>
        <w:t xml:space="preserve"> </w:t>
      </w:r>
      <w:r>
        <w:t xml:space="preserve">example: a striking pair of divergent definitions is produced, and the reader</w:t>
      </w:r>
      <w:r>
        <w:t xml:space="preserve"> </w:t>
      </w:r>
      <w:r>
        <w:t xml:space="preserve">is invited to infer that the system is either riddled with such pairs or that</w:t>
      </w:r>
      <w:r>
        <w:t xml:space="preserve"> </w:t>
      </w:r>
      <w:r>
        <w:t xml:space="preserve">this one is an outlier. Both inferences are unsupported, because nobody has</w:t>
      </w:r>
      <w:r>
        <w:t xml:space="preserve"> </w:t>
      </w:r>
      <w:r>
        <w:t xml:space="preserve">counted.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290 legislative instruments, of which 214 have a</w:t>
      </w:r>
      <w:r>
        <w:t xml:space="preserve"> </w:t>
      </w:r>
      <w:r>
        <w:t xml:space="preserve">definitions article that parses cleanly, yielding 1,920 distinct defined</w:t>
      </w:r>
      <w:r>
        <w:t xml:space="preserve"> </w:t>
      </w:r>
      <w:r>
        <w:t xml:space="preserve">terms carrying 3,318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290 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Xbc77753a0a3b032172697e29ab16e2ab2f13e5c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the-corpus-and-its-glossary-layer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290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1,920 distinct terms carrying 3,318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 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1,920 defined terms, 1,749 of them substantive, 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1,920 terms,</w:t>
      </w:r>
      <w:r>
        <w:t xml:space="preserve"> </w:t>
      </w:r>
      <w:r>
        <w:t xml:space="preserve">1,558 — 81 per cent — are defined by exactly one 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 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al-nashat-activity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 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harmonised-person-licensee-employer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 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indexical-definitions-the-filter-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homonymy-permit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four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 section 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 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twelve, giving around 83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 section 5.4 and section</w:t>
      </w:r>
      <w:r>
        <w:t xml:space="preserve"> </w:t>
      </w:r>
      <w:r>
        <w:t xml:space="preserve">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(Royal Decree M/75, 29/6/1440H)</w:t>
      </w:r>
      <w:r>
        <w:t xml:space="preserve"> </w:t>
      </w:r>
      <w:r>
        <w:t xml:space="preserve">art 1.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(Royal Decree M/51, 23/8/1426H) art</w:t>
      </w:r>
      <w:r>
        <w:t xml:space="preserve"> </w:t>
      </w:r>
      <w:r>
        <w:t xml:space="preserve">2.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s 5 and sch 1; Acts</w:t>
      </w:r>
      <w:r>
        <w:t xml:space="preserve"> </w:t>
      </w:r>
      <w:r>
        <w:t xml:space="preserve">Interpretation Act 1901 (Cth), pt 2 div 2; Interpretation Act, RSC 1985, c</w:t>
      </w:r>
      <w:r>
        <w:t xml:space="preserve"> </w:t>
      </w:r>
      <w:r>
        <w:t xml:space="preserve">I-21, s 35.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 (Royal Order A/90,</w:t>
      </w:r>
      <w:r>
        <w:t xml:space="preserve"> </w:t>
      </w:r>
      <w:r>
        <w:t xml:space="preserve">27/8/1412H) is constitutional in character and supplies no general</w:t>
      </w:r>
      <w:r>
        <w:t xml:space="preserve"> </w:t>
      </w:r>
      <w:r>
        <w:t xml:space="preserve">definitional apparatus. This is a statement about the 290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 edn, Little, Brown 1986) ch 7; Helen Xanthaki,</w:t>
      </w:r>
      <w:r>
        <w:t xml:space="preserve"> </w:t>
      </w:r>
      <w:r>
        <w:rPr>
          <w:iCs/>
          <w:i/>
        </w:rPr>
        <w:t xml:space="preserve">Thornton’s</w:t>
      </w:r>
      <w:r>
        <w:rPr>
          <w:iCs/>
          <w:i/>
        </w:rPr>
        <w:t xml:space="preserve"> </w:t>
      </w:r>
      <w:r>
        <w:rPr>
          <w:iCs/>
          <w:i/>
        </w:rPr>
        <w:t xml:space="preserve">Legislative Drafting</w:t>
      </w:r>
      <w:r>
        <w:t xml:space="preserve"> </w:t>
      </w:r>
      <w:r>
        <w:t xml:space="preserve">(6th edn, Bloomsbury Professional 2022) ch 4.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Drafting Legislation: Art and</w:t>
      </w:r>
      <w:r>
        <w:rPr>
          <w:iCs/>
          <w:i/>
        </w:rPr>
        <w:t xml:space="preserve"> </w:t>
      </w:r>
      <w:r>
        <w:rPr>
          <w:iCs/>
          <w:i/>
        </w:rPr>
        <w:t xml:space="preserve">Technology of Rules for Regulation</w:t>
      </w:r>
      <w:r>
        <w:t xml:space="preserve"> </w:t>
      </w:r>
      <w:r>
        <w:t xml:space="preserve">(Hart 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iCs/>
          <w:i/>
        </w:rPr>
        <w:t xml:space="preserve">Bennion, Bailey and Norbury on</w:t>
      </w:r>
      <w:r>
        <w:rPr>
          <w:iCs/>
          <w:i/>
        </w:rPr>
        <w:t xml:space="preserve"> </w:t>
      </w:r>
      <w:r>
        <w:rPr>
          <w:iCs/>
          <w:i/>
        </w:rPr>
        <w:t xml:space="preserve">Statutory Interpretation</w:t>
      </w:r>
      <w:r>
        <w:t xml:space="preserve"> </w:t>
      </w:r>
      <w:r>
        <w:t xml:space="preserve">(8th edn, LexisNexis Butterworths 2020) ss 21.3 and</w:t>
      </w:r>
      <w:r>
        <w:t xml:space="preserve"> </w:t>
      </w:r>
      <w:r>
        <w:t xml:space="preserve">24.3; Antonin Scalia and Bryan A Garner,</w:t>
      </w:r>
      <w:r>
        <w:t xml:space="preserve"> </w:t>
      </w:r>
      <w:r>
        <w:rPr>
          <w:iCs/>
          <w:i/>
        </w:rPr>
        <w:t xml:space="preserve">Reading Law: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 of Legal Texts</w:t>
      </w:r>
      <w:r>
        <w:t xml:space="preserve"> </w:t>
      </w:r>
      <w:r>
        <w:t xml:space="preserve">(Thomson/West 2012) 170–73.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 Fabio Vitali,</w:t>
      </w:r>
      <w:r>
        <w:t xml:space="preserve"> </w:t>
      </w:r>
      <w:r>
        <w:t xml:space="preserve">‘</w:t>
      </w:r>
      <w:r>
        <w:t xml:space="preserve">Akoma-Ntoso for Legal</w:t>
      </w:r>
      <w:r>
        <w:t xml:space="preserve"> </w:t>
      </w:r>
      <w:r>
        <w:t xml:space="preserve">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</w:t>
      </w:r>
      <w:r>
        <w:t xml:space="preserve"> </w:t>
      </w:r>
      <w:r>
        <w:t xml:space="preserve">75.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 J Bommarito,</w:t>
      </w:r>
      <w:r>
        <w:t xml:space="preserve"> </w:t>
      </w:r>
      <w:r>
        <w:t xml:space="preserve">‘</w:t>
      </w:r>
      <w:r>
        <w:t xml:space="preserve">Measuring</w:t>
      </w:r>
      <w:r>
        <w:t xml:space="preserve"> </w:t>
      </w:r>
      <w:r>
        <w:t xml:space="preserve">the Complexity of the Law: The United States Code</w:t>
      </w:r>
      <w:r>
        <w:t xml:space="preserve">’</w:t>
      </w:r>
      <w:r>
        <w:t xml:space="preserve"> </w:t>
      </w:r>
      <w:r>
        <w:t xml:space="preserve">(2014) 22 Artificial</w:t>
      </w:r>
      <w:r>
        <w:t xml:space="preserve"> </w:t>
      </w:r>
      <w:r>
        <w:t xml:space="preserve">Intelligence and Law 337; Corinna Coupette and others,</w:t>
      </w:r>
      <w:r>
        <w:t xml:space="preserve"> </w:t>
      </w:r>
      <w:r>
        <w:t xml:space="preserve">‘</w:t>
      </w:r>
      <w:r>
        <w:t xml:space="preserve">Measuring Law Over</w:t>
      </w:r>
      <w:r>
        <w:t xml:space="preserve"> </w:t>
      </w:r>
      <w:r>
        <w:t xml:space="preserve">Time: A Network Analytical Framework with an Application to Statutes and</w:t>
      </w:r>
      <w:r>
        <w:t xml:space="preserve"> </w:t>
      </w:r>
      <w:r>
        <w:t xml:space="preserve">Regulations in the United States and Germany</w:t>
      </w:r>
      <w:r>
        <w:t xml:space="preserve">’</w:t>
      </w:r>
      <w:r>
        <w:t xml:space="preserve"> </w:t>
      </w:r>
      <w:r>
        <w:t xml:space="preserve">(2021) 9 Frontiers in Physics</w:t>
      </w:r>
      <w:r>
        <w:t xml:space="preserve"> </w:t>
      </w:r>
      <w:r>
        <w:t xml:space="preserve">658463.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 art 1; Implementing Regulation of</w:t>
      </w:r>
      <w:r>
        <w:t xml:space="preserve"> </w:t>
      </w:r>
      <w:r>
        <w:t xml:space="preserve">the Competition Law (GAC Board Decision 337, 25/1/1441H) art 1.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</w:t>
      </w:r>
      <w:r>
        <w:t xml:space="preserve"> </w:t>
      </w:r>
      <w:r>
        <w:t xml:space="preserve">under art 19 of the Anti-Concealment Law (Royal Decree M/4, 1/1/1442H) art</w:t>
      </w:r>
      <w:r>
        <w:t xml:space="preserve"> </w:t>
      </w:r>
      <w:r>
        <w:t xml:space="preserve">1.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 art 2; High-Risk</w:t>
      </w:r>
      <w:r>
        <w:t xml:space="preserve"> </w:t>
      </w:r>
      <w:r>
        <w:t xml:space="preserve">Professions Work Organization Regulation art 1; OSH Service Providers</w:t>
      </w:r>
      <w:r>
        <w:t xml:space="preserve"> </w:t>
      </w:r>
      <w:r>
        <w:t xml:space="preserve">Licensing and Accreditation Regulation art 1.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 (Ministerial Resolution</w:t>
      </w:r>
      <w:r>
        <w:t xml:space="preserve"> </w:t>
      </w:r>
      <w:r>
        <w:t xml:space="preserve">230/</w:t>
      </w:r>
      <w:r>
        <w:rPr>
          <w:iCs/>
          <w:i/>
        </w:rPr>
        <w:t xml:space="preserve">ta’minat</w:t>
      </w:r>
      <w:r>
        <w:t xml:space="preserve">, 26/12/1445H) art 1;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 (Royal Decree M/113,</w:t>
      </w:r>
      <w:r>
        <w:t xml:space="preserve"> </w:t>
      </w:r>
      <w:r>
        <w:t xml:space="preserve">2/11/1438H) art 1; Real Estate Transaction Tax Law (Royal Decree M/84,</w:t>
      </w:r>
      <w:r>
        <w:t xml:space="preserve"> </w:t>
      </w:r>
      <w:r>
        <w:t xml:space="preserve">19/3/1446H) art 1.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 (Royal Decree M/1, 15/1/1425H) art 1.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</w:t>
      </w:r>
      <w:r>
        <w:t xml:space="preserve"> </w:t>
      </w:r>
      <w:r>
        <w:t xml:space="preserve">Collection Implementing Regulation (Minister of Finance Resolution 1007,</w:t>
      </w:r>
      <w:r>
        <w:t xml:space="preserve"> </w:t>
      </w:r>
      <w:r>
        <w:t xml:space="preserve">19/8/1445H) art 1.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 (Royal Decree M/37, 5/7/1429H) art</w:t>
      </w:r>
      <w:r>
        <w:t xml:space="preserve"> </w:t>
      </w:r>
      <w:r>
        <w:t xml:space="preserve">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 (Royal</w:t>
      </w:r>
      <w:r>
        <w:t xml:space="preserve"> </w:t>
      </w:r>
      <w:r>
        <w:t xml:space="preserve">Decree M/126, 7/11/1440H) art 1.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 (Royal Decree M/26,</w:t>
      </w:r>
      <w:r>
        <w:t xml:space="preserve"> </w:t>
      </w:r>
      <w:r>
        <w:t xml:space="preserve">22/3/1443H) art 1.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</w:t>
      </w:r>
      <w:r>
        <w:t xml:space="preserve"> </w:t>
      </w:r>
      <w:r>
        <w:t xml:space="preserve">made under the Environmental Law (Royal Decree M/165, 19/11/1441H):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</w:t>
      </w:r>
      <w:r>
        <w:t xml:space="preserve"> </w:t>
      </w:r>
      <w:r>
        <w:t xml:space="preserve">(Royal Decree M/44, 18/7/1426H) art 1.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 (Royal Decree</w:t>
      </w:r>
      <w:r>
        <w:t xml:space="preserve"> </w:t>
      </w:r>
      <w:r>
        <w:t xml:space="preserve">M/106, 2/11/1443H) art 1.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Counts as an Establishment? Definitional Fragmentation Across Saudi Arabian Legislation</dc:title>
  <dc:creator/>
  <cp:keywords/>
  <dcterms:created xsi:type="dcterms:W3CDTF">2026-08-20T14:29:02Z</dcterms:created>
  <dcterms:modified xsi:type="dcterms:W3CDTF">2026-08-20T14:29:02Z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