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system. Whether real systems comply has never been measured, because</w:t>
      </w:r>
      <w:r>
        <w:t xml:space="preserve"> </w:t>
      </w:r>
      <w:r>
        <w:t xml:space="preserve">settling it requires every statutory definition in a jurisdiction, extracted</w:t>
      </w:r>
      <w:r>
        <w:t xml:space="preserve"> </w:t>
      </w:r>
      <w:r>
        <w:t xml:space="preserve">from the instrument that made it. This article supplies that measurement for</w:t>
      </w:r>
      <w:r>
        <w:t xml:space="preserve"> </w:t>
      </w:r>
      <w:r>
        <w:t xml:space="preserve">Saudi Arabia — 290 instruments, 1</w:t>
      </w:r>
      <w:r>
        <w:t xml:space="preserve">,</w:t>
      </w:r>
      <w:r>
        <w:t xml:space="preserve">920 defined terms,</w:t>
      </w:r>
      <w:r>
        <w:t xml:space="preserve"> </w:t>
      </w:r>
      <w:r>
        <w:t xml:space="preserve">3</w:t>
      </w:r>
      <w:r>
        <w:t xml:space="preserve">,</w:t>
      </w:r>
      <w:r>
        <w:t xml:space="preserve">318 definitions — and argues that the measurement is worth less</w:t>
      </w:r>
      <w:r>
        <w:t xml:space="preserve"> </w:t>
      </w:r>
      <w:r>
        <w:t xml:space="preserve">than the 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</w:t>
      </w:r>
      <w:r>
        <w:t xml:space="preserve"> </w:t>
      </w:r>
      <w:r>
        <w:t xml:space="preserve">from substantive ones; indexical definitions are the most repeated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yields 4 genuine conflicts.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 (Saudi Arabia), art.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 (Saudi Arabia), art. 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 (UK), c. 30, s. 5, sch. 1; Acts Interpretation Act 1901 (Cth), pt 2 div 2; Interpretation Act (Canada), RSC 1985, c. I-21, s.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(Boston: Little, Brown, 2d ed. 1986), ch. 7; H.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(Bloomsbury, 6th ed. 2022), ch.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H. Xanthaki,</w:t>
      </w:r>
      <w:r>
        <w:t xml:space="preserve"> </w:t>
      </w:r>
      <w:r>
        <w:rPr>
          <w:iCs/>
          <w:i/>
        </w:rPr>
        <w:t xml:space="preserve">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 Statutory Interpretation</w:t>
      </w:r>
      <w:r>
        <w:t xml:space="preserve"> </w:t>
      </w:r>
      <w:r>
        <w:t xml:space="preserve">(LexisNexis, 8th ed. 2020), ss. 21.3, 24.3; A. Scalia &amp; B.A. Garner,</w:t>
      </w:r>
      <w:r>
        <w:t xml:space="preserve"> </w:t>
      </w:r>
      <w:r>
        <w:rPr>
          <w:iCs/>
          <w:i/>
        </w:rPr>
        <w:t xml:space="preserve">Reading Law: The Interpretation of Legal Texts</w:t>
      </w:r>
      <w:r>
        <w:t xml:space="preserve"> </w:t>
      </w:r>
      <w:r>
        <w:t xml:space="preserve">(St. Paul, MN: Thomson/West, 2012),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P. Henderson et al.,</w:t>
      </w:r>
      <w:r>
        <w:t xml:space="preserve"> </w:t>
      </w:r>
      <w:r>
        <w:t xml:space="preserve">‘</w:t>
      </w:r>
      <w:r>
        <w:t xml:space="preserve">Pile of Law: Learning Responsible Data Filtering from the Law and a 256GB Open-Source Legal Dataset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Advances in Neural Information Processing Systems 35, Datasets and Benchmarks Track</w:t>
      </w:r>
      <w:r>
        <w:t xml:space="preserve"> </w:t>
      </w:r>
      <w:r>
        <w:t xml:space="preserve">(2022); J. Niklaus et al.,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M. Palmirani &amp; F.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(2011) 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D.M. Katz &amp; M.J.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Artificial Intelligence and Law</w:t>
      </w:r>
      <w:r>
        <w:t xml:space="preserve"> </w:t>
      </w:r>
      <w:r>
        <w:t xml:space="preserve">22(4) (2014): 337–374, doi 10.1007/s10506-014-9160-8; C. Coupette et al.,</w:t>
      </w:r>
      <w:r>
        <w:t xml:space="preserve"> </w:t>
      </w:r>
      <w:r>
        <w:t xml:space="preserve">‘</w:t>
      </w:r>
      <w:r>
        <w:t xml:space="preserve">Measuring Law Over Time: A Network Analytical Framework with an Application to Statutes and Regulations in the United States and Germany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Frontiers in Physics</w:t>
      </w:r>
      <w:r>
        <w:t xml:space="preserve"> </w:t>
      </w:r>
      <w:r>
        <w:t xml:space="preserve">9 (2021): art. 658463, doi 10.3389/fphy.2021.658463.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supra note 1,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supra note 2,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2026-08-29T17:29:15Z</dcterms:created>
  <dcterms:modified xsi:type="dcterms:W3CDTF">2026-08-29T17:29:15Z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