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توريد حديد التسليح — مؤسسة الحديد الوطنية</w:t>
      </w:r>
    </w:p>
    <w:p>
      <w:r>
        <w:t>إنه في يوم الثلاثاء الموافق ١/٢/١٤٤٨هـ تم الاتفاق بين كل من:</w:t>
      </w:r>
    </w:p>
    <w:p>
      <w:r>
        <w:t>الطرف الأول (المقاول الرئيسي): شركة البنيان الحديثة للمقاولات، سجل تجاري رقم ١٠١٠٤٤٤٩٨٧، الرياض.</w:t>
      </w:r>
    </w:p>
    <w:p>
      <w:r>
        <w:t>الطرف الثاني (المورد): مؤسسة الحديد الوطنية للتجارة، سجل تجاري رقم ١٠١٠٣٣٣٢٥٦، الرياض.</w:t>
      </w:r>
    </w:p>
    <w:p>
      <w:r>
        <w:t>المادة ١/١: يتعهد المورد بتوريد حديد تسليح مطابق للمواصفات القياسية السعودية لصالح مشروع واجهة الرياض المرحلة الثالثة وفقاً لأوامر التوريد الصادرة من المقاول الرئيسي.</w:t>
      </w:r>
    </w:p>
    <w:p>
      <w:r>
        <w:t>المادة ٣/١: قيمة العقد الإجمالية مبلغ وقدره ١٬٨٠٠٬٠٠٠ ريال سعودي (مليون وثمانمائة ألف ريال سعودي) غير شاملة ضريبة القيمة المضافة.</w:t>
      </w:r>
    </w:p>
    <w:p>
      <w:r>
        <w:t>المادة ٤/١: يبدأ سريان هذا العقد اعتباراً من تاريخ ٥/٢/١٤٤٨هـ.</w:t>
      </w:r>
    </w:p>
    <w:p>
      <w:r>
        <w:t>المادة ٤/٢: ينتهي هذا العقد بتاريخ ٢٩/٦/١٤٤٨هـ ما لم يتفق الطرفان كتابياً على تمديده.</w:t>
      </w:r>
    </w:p>
    <w:p>
      <w:r>
        <w:t>المادة ٦/٣: يلتزم المقاول الرئيسي بسداد قيمة كل فاتورة توريد معتمدة خلال ١٥ يوماً من تاريخ استلام الفاتورة مستوفية المستندات.</w:t>
      </w:r>
    </w:p>
    <w:p>
      <w:r>
        <w:t>المادة ٩/١: يلتزم المورد بتقديم شهادات الفحص المصنعية وشهادات المطابقة مع كل دفعة توريد قبل دخولها الموقع.</w:t>
      </w:r>
    </w:p>
    <w:p>
      <w:r>
        <w:t>المادة ١١/٤: يلتزم المورد بتوريد كامل كميات حديد التسليح المطلوبة في كل أمر توريد خلال ٤٥ يوم عمل من تاريخ استلام أمر التوريد المعتمد.</w:t>
      </w:r>
    </w:p>
    <w:p>
      <w:r>
        <w:t>المادة ١٢/١: يلتزم المقاول الرئيسي بإخطار المورد كتابياً بأي عيوب أو نواقص في الكميات الموردة خلال ١٠ أيام من تاريخ استلامها في الموقع.</w:t>
      </w:r>
    </w:p>
    <w:p>
      <w:r>
        <w:t>المادة ١٣/١: تكون مسؤولية المورد التعويضية بموجب هذا العقد محدودة بحد أقصى إجمالي قدره ٢٥٠٬٠٠٠ ريال سعودي مهما بلغت قيمة الأضرار.</w:t>
      </w:r>
    </w:p>
    <w:p>
      <w:r>
        <w:t>المادة ١٧/١: يلتزم المورد بتوفير تأمين ساري المفعول يغطي مسؤوليته عن الأضرار بغطاء تأميني لا يقل عن ٢٬٠٠٠٬٠٠٠ ريال سعودي طوال مدة العقد.</w:t>
      </w:r>
    </w:p>
    <w:p>
      <w:r>
        <w:t>المادة ١٩/١: يخضع هذا العقد للأنظمة المعمول بها في المملكة العربية السعودية.</w:t>
      </w:r>
    </w:p>
    <w:p>
      <w:r>
        <w:t>حرر هذا العقد من نسختين أصليتين بيد كل طرف نسخة للعمل بموجبها.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