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2937"/>
          <w:sz w:val="30"/>
          <w:szCs w:val="30"/>
        </w:rPr>
        <w:t xml:space="preserve">PKCERT AI &amp; Software Development Internship</w:t>
      </w:r>
    </w:p>
    <w:p>
      <w:pPr>
        <w:spacing w:after="200"/>
        <w:jc w:val="center"/>
      </w:pPr>
      <w:r>
        <w:rPr>
          <w:b/>
          <w:bCs/>
          <w:color w:val="9C6B1F"/>
          <w:sz w:val="24"/>
          <w:szCs w:val="24"/>
        </w:rPr>
        <w:t xml:space="preserve">Task 22 – Feedforward Neural Networks on MNIST, Regularization &amp; GPU-Accelerated Training</w:t>
      </w:r>
    </w:p>
    <w:p>
      <w:pPr>
        <w:pBdr>
          <w:bottom w:val="single" w:color="9C6B1F" w:sz="8" w:space="4"/>
        </w:pBdr>
        <w:spacing w:after="200"/>
      </w:pPr>
    </w:p>
    <w:p>
      <w:pPr>
        <w:spacing w:after="120"/>
      </w:pPr>
      <w:r>
        <w:rPr>
          <w:b/>
          <w:bCs/>
        </w:rPr>
        <w:t xml:space="preserve">Objective:</w:t>
      </w:r>
    </w:p>
    <w:p>
      <w:pPr>
        <w:spacing w:after="120"/>
      </w:pPr>
      <w:r>
        <w:t xml:space="preserve">Consolidate every neural-network concept covered so far — perceptrons, activation functions, forward propagation, and backpropagation — into a complete, working feedforward network trained on MNIST (or a comparable image dataset). Extend that network with three core regularization techniques (dropout, batch normalization, early stopping), then move training onto a GPU-accelerated notebook (Google Colab or Kaggle) and rigorously benchmark the difference it makes.</w:t>
      </w:r>
    </w:p>
    <w:p>
      <w:pPr>
        <w:spacing w:after="120"/>
      </w:pPr>
      <w:r>
        <w:rPr>
          <w:b/>
          <w:bCs/>
        </w:rPr>
        <w:t xml:space="preserve">Total Marks: 100</w:t>
      </w:r>
    </w:p>
    <w:p>
      <w:pPr>
        <w:spacing w:after="120"/>
      </w:pPr>
      <w:r>
        <w:rPr>
          <w:i/>
          <w:iCs/>
          <w:color w:val="555555"/>
        </w:rPr>
        <w:t xml:space="preserve">This task assumes full command of Task 16's material (perceptron mechanics, activation function derivatives, and the manual forward/backward derivation). Several sections below will not re-explain those fundamentals — you are expected to apply them correctly and to catch your own mistakes if a gradient or shape doesn't check out.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Part A – Conceptual Refresher &amp; Integration (10 Marks)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Without referring back to Task 16, re-derive from memory the backpropagation gradients for a 2-hidden-layer network using ReLU activations in the hidden layers and softmax with cross-entropy loss at the output. Show your work; do not just state the final formulas.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precisely why softmax is paired with cross-entropy loss rather than mean squared error, referencing the simplified gradient (predicted − actual) that results at the output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200–300 words, explain how a perceptron, an activation function, and the backpropagation algorithm compose into a trainable feedforward network — written as if explaining it to a junior intern who only knows the perceptron.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Part B – Feedforward Neural Network on MNIST (20 Marks)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the MNIST dataset (or, if you want an extra challenge, Fashion-MNIST) and build a feedforward network with at least two hidden layers.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the network twice: once from scratch using only NumPy (forward pass, backward pass, and mini-batch gradient descent — no autograd), and once using a framework of your choice (PyTorch, TensorFlow, or Keras).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both implementations reach comparable test accuracy (report the gap and explain any discrepancy — do not paper over 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Plot training and validation loss/accuracy curves for both implementations on the same figure for direct comparison.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a full confusion matrix and identify which digit/class pairs are most frequently confused, with a brief hypothesis as to why.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Part C – Regularization Techniques: Dropout, Batch Normalization &amp; Early Stopping (25 Marks)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inverted dropout from scratch in your NumPy network: correct forward-pass masking and scaling, and a backward pass that correctly propagates gradients only through active units.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batch normalization from scratch in your NumPy network: forward pass (batch mean/variance, normalization, learnable scale/shift), backward pass (correct gradients w.r.t. inputs, scale, and shift), and running statistics for inference-time 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early stopping based on validation loss with a configurable patience parameter, and restore the best-performing weights rather than the final-epoch weights.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 controlled ablation study with at least four configurations — baseline (no regularization), dropout only, batch norm only, and dropout + batch norm + early stopping combined — using identical architecture, data split, and initialization seed for each. Tabulate train/validation/test accuracy and the train–test accuracy gap for each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Mathematically justify why dropout approximates training an ensemble of sub-networks, and explain — grounded in the actual mechanism (reducing internal covariate shift and smoothing the loss landscape), not marketing language — why batch normalization tends to stabilize and accelerate training.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a hyperparameter mistake that would make dropout or batch normalization actively harmful (e.g., wrong placement relative to the activation, dropout at inference time, mismatched train/eval mode), and demonstrate its effect empirically.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Part D – GPU Basics: Colab / Kaggle Accelerated Training (20 Marks)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your framework-based (Part B) implementation to a GPU-enabled runtime using Google Colab or Kaggle Notebooks, and confirm the GPU is actually being used (device check, not just an assumption).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Benchmark identical training runs (same architecture, batch size, epochs, seed) on CPU versus GPU. Report wall-clock time for both and compute the speedup factor.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Explain, mechanistically, why GPUs accelerate neural network training — parallel matrix multiplication across many cores and high memory bandwidth — rather than repeating a generic 'GPUs are faster' claim.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mixed-precision training (fp16/bfloat16) if your framework and the notebook's GPU support it, and report the effect on training time and memory usage compared to full precision.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at least two practical constraints of free-tier GPU notebooks (e.g., session timeouts, usage quotas, disconnections) and the specific mitigation you used (e.g., periodic checkpointing to Drive/Kaggle datasets, resumable training loop).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Part E – Hardcore Integration Challenge (15 Marks)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Combine everything above into one final pipeline: the from-scratch NumPy network with dropout, batch normalization, and early stopping, trained via mini-batch gradient descent — and a matching framework implementation with the same regularization stack, trained on GPU.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Statistically compare the two final models' predictions (e.g., agreement rate on the test set, or a paired comparison of per-class accuracy) and explain any meaningful divergence rather than dismissing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Stress-test robustness: evaluate both final models on a corrupted test set (e.g., MNIST with added Gaussian noise, or a small random-rotation augmentation) and report the accuracy drop. Discuss whether your regularization choices helped or hurt robustness to this shift.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fixed compute budget (state a self-imposed limit, e.g., 10 minutes of GPU time), decide and justify how you would allocate it across architecture size, regularization strength, and training epochs to maximize test accuracy.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Part F – Analysis &amp; Documentation (10 Marks)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the final trained model(s) (weights/parameters) using pickle, joblib, or the framework's native format.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Summarize the complete pipeline: architecture, regularization stack, and training environment (CPU vs GPU), with justification for each choice.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Summarize the ablation study and benchmarking results in a single consolidated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at least two challenges faced during this task and how you diagnosed and resolved them (a vague 'it was hard' does not qualify — describe the actual debugging process).</w:t>
      </w:r>
    </w:p>
    <w:p>
      <w:pPr>
        <w:spacing w:after="150" w:before="300"/>
      </w:pPr>
      <w:r>
        <w:rPr>
          <w:b/>
          <w:bCs/>
          <w:color w:val="1F2937"/>
          <w:sz w:val="24"/>
          <w:szCs w:val="24"/>
        </w:rPr>
        <w:t xml:space="preserve">Assessment Breakdown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400"/>
      </w:tblGrid>
      <w:tr>
        <w:tc>
          <w:tcPr>
            <w:tcW w:type="dxa" w:w="8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Assessment Area</w:t>
            </w:r>
          </w:p>
        </w:tc>
        <w:tc>
          <w:tcPr>
            <w:tcW w:type="dxa" w:w="1400"/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</w:tr>
      <w:tr>
        <w:tc>
          <w:tcPr>
            <w:tcW w:type="dxa" w:w="8000"/>
          </w:tcPr>
          <w:p>
            <w:r>
              <w:rPr>
                <w:b w:val="false"/>
                <w:bCs w:val="false"/>
                <w:color w:val="1F2937"/>
              </w:rPr>
              <w:t xml:space="preserve">Conceptual Refresher &amp; Integration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</w:rPr>
              <w:t xml:space="preserve">10</w:t>
            </w:r>
          </w:p>
        </w:tc>
      </w:tr>
      <w:tr>
        <w:tc>
          <w:tcPr>
            <w:tcW w:type="dxa" w:w="8000"/>
            <w:shd w:fill="F2F2F2" w:val="clear"/>
          </w:tcPr>
          <w:p>
            <w:r>
              <w:rPr>
                <w:b w:val="false"/>
                <w:bCs w:val="false"/>
                <w:color w:val="1F2937"/>
              </w:rPr>
              <w:t xml:space="preserve">Feedforward Neural Network on MNIST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</w:rPr>
              <w:t xml:space="preserve">20</w:t>
            </w:r>
          </w:p>
        </w:tc>
      </w:tr>
      <w:tr>
        <w:tc>
          <w:tcPr>
            <w:tcW w:type="dxa" w:w="8000"/>
          </w:tcPr>
          <w:p>
            <w:r>
              <w:rPr>
                <w:b w:val="false"/>
                <w:bCs w:val="false"/>
                <w:color w:val="1F2937"/>
              </w:rPr>
              <w:t xml:space="preserve">Regularization: Dropout, Batch Norm &amp; Early Stopping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</w:rPr>
              <w:t xml:space="preserve">25</w:t>
            </w:r>
          </w:p>
        </w:tc>
      </w:tr>
      <w:tr>
        <w:tc>
          <w:tcPr>
            <w:tcW w:type="dxa" w:w="8000"/>
            <w:shd w:fill="F2F2F2" w:val="clear"/>
          </w:tcPr>
          <w:p>
            <w:r>
              <w:rPr>
                <w:b w:val="false"/>
                <w:bCs w:val="false"/>
                <w:color w:val="1F2937"/>
              </w:rPr>
              <w:t xml:space="preserve">GPU Basics: Colab / Kaggle Accelerated Training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</w:rPr>
              <w:t xml:space="preserve">20</w:t>
            </w:r>
          </w:p>
        </w:tc>
      </w:tr>
      <w:tr>
        <w:tc>
          <w:tcPr>
            <w:tcW w:type="dxa" w:w="8000"/>
          </w:tcPr>
          <w:p>
            <w:r>
              <w:rPr>
                <w:b w:val="false"/>
                <w:bCs w:val="false"/>
                <w:color w:val="1F2937"/>
              </w:rPr>
              <w:t xml:space="preserve">Hardcore Integration Challenge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</w:rPr>
              <w:t xml:space="preserve">15</w:t>
            </w:r>
          </w:p>
        </w:tc>
      </w:tr>
      <w:tr>
        <w:tc>
          <w:tcPr>
            <w:tcW w:type="dxa" w:w="8000"/>
            <w:shd w:fill="F2F2F2" w:val="clear"/>
          </w:tcPr>
          <w:p>
            <w:r>
              <w:rPr>
                <w:b w:val="false"/>
                <w:bCs w:val="false"/>
                <w:color w:val="1F2937"/>
              </w:rPr>
              <w:t xml:space="preserve">Analysis &amp; Documentation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</w:rPr>
              <w:t xml:space="preserve">10</w:t>
            </w:r>
          </w:p>
        </w:tc>
      </w:tr>
      <w:tr>
        <w:tc>
          <w:tcPr>
            <w:tcW w:type="dxa" w:w="8000"/>
          </w:tcPr>
          <w:p>
            <w:r>
              <w:rPr>
                <w:b w:val="false"/>
                <w:bCs w:val="false"/>
                <w:color w:val="1F2937"/>
              </w:rPr>
              <w:t xml:space="preserve">Total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</w:rPr>
              <w:t xml:space="preserve">100</w:t>
            </w:r>
          </w:p>
        </w:tc>
      </w:tr>
    </w:tbl>
    <w:p>
      <w:pPr>
        <w:spacing w:before="300"/>
      </w:pPr>
      <w:r>
        <w:rPr>
          <w:i/>
          <w:iCs/>
          <w:color w:val="555555"/>
          <w:sz w:val="20"/>
          <w:szCs w:val="20"/>
        </w:rPr>
        <w:t xml:space="preserve">Note: For the from-scratch components in Parts A, B, and C, use of high-level automatic-differentiation frameworks is not permitted — the intent is to prove you understand the underlying mathematics well enough to implement and debug it yourself. Frameworks are required (not optional) for the GPU-accelerated components in Parts D and 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2026-08-04T10:25:40.340Z</dcterms:created>
  <dcterms:modified xsi:type="dcterms:W3CDTF">2026-08-04T10:25:40.341Z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