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bCs/>
          <w:color w:val="1F3864"/>
          <w:sz w:val="40"/>
          <w:szCs w:val="40"/>
          <w:rtl/>
        </w:rPr>
        <w:t xml:space="preserve">ترجمة عربية لوثيقة طلب تقديم العروض</w:t>
      </w:r>
    </w:p>
    <w:p>
      <w:pPr>
        <w:bidi/>
        <w:spacing w:after="120"/>
        <w:jc w:val="center"/>
      </w:pPr>
      <w:r>
        <w:rPr>
          <w:rFonts w:ascii="Arial" w:cs="Arial" w:eastAsia="Arial" w:hAnsi="Arial"/>
          <w:b/>
          <w:bCs/>
          <w:color w:val="2E5597"/>
          <w:sz w:val="32"/>
          <w:szCs w:val="32"/>
        </w:rPr>
        <w:t xml:space="preserve">RFP-FURAT-III-009-2026</w:t>
      </w:r>
    </w:p>
    <w:p>
      <w:pPr>
        <w:bidi/>
        <w:spacing w:after="120"/>
        <w:jc w:val="center"/>
      </w:pPr>
      <w:r>
        <w:rPr>
          <w:rFonts w:ascii="Arial" w:cs="Arial" w:eastAsia="Arial" w:hAnsi="Arial"/>
          <w:color w:val="404040"/>
          <w:sz w:val="22"/>
          <w:szCs w:val="22"/>
        </w:rPr>
        <w:t xml:space="preserve">Data Center Assessment, Architecture Design, and Bill of Quantities Development, Supply, Installation and Commissioning – MOLAE</w:t>
      </w:r>
    </w:p>
    <w:p>
      <w:pPr>
        <w:bidi/>
        <w:spacing w:after="300"/>
        <w:jc w:val="center"/>
      </w:pPr>
      <w:r>
        <w:rPr>
          <w:rFonts w:ascii="Arial" w:cs="Arial" w:eastAsia="Arial" w:hAnsi="Arial"/>
          <w:i/>
          <w:iCs/>
          <w:color w:val="595959"/>
          <w:sz w:val="20"/>
          <w:szCs w:val="20"/>
          <w:rtl/>
        </w:rPr>
        <w:t xml:space="preserve">تنبيه: هذه ترجمة إرشادية مع إبقاء المصطلحات الرئيسية بالإنكليزية؛ والنص الإنكليزي الأصلي هو المرجع عند أي اختلاف. يوجد مختصر في نهاية الملف.</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طلب تقديم عروض (Request for Proposal – RFP)</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w:t>
            </w:r>
          </w:p>
        </w:tc>
        <w:tc>
          <w:tcPr>
            <w:tcW w:type="dxa" w:w="68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التفاصيل</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إلى (To)</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مقدّم العرض (Offeror)</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من (From)</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Creative Associates International, Inc.</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الموضوع (Subject)</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طلب تقديم عروض رقم RFP-FURAT-III-009-2026 — تقييم مركز البيانات (Data Center Assessment)، وتصميم المعمارية (Architecture Design)، وإعداد جدول الكميات (Bill of Quantities – BoQ)، والتوريد والتركيب والتشغيل التجريبي (Commissioning) لصالح وزارة الإدارة المحلية والبيئة (MOLAE)</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نوع الترسية (Type of Award)</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أمر شراء بسعر ثابت (Firm Fixed Price (FFP) Purchase Order)</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أساس الترسية (Basis of Award)</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أفضل قيمة (Best Value)</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سقف الترسية (Award ceiling)</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حتى 900,000.00 دولار أمريكي</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المرجع (Reference)</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عقد NEA رقم SNEAAC23CA0008</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تاريخ إصدار الـ RFP</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28 سبتمبر 2026</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موعد إغلاق خطاب الاهتمام (LoI)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06 أكتوبر 2026</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وقت إغلاق الـ LoI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4:00 مساءً – بتوقيت دمشق، سوريا</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موعد الزيارة الميدانية (Site Visit)</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سيتم إرساله إلى مقدّمي العروض</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موعد جلسة الأسئلة والأجوبة (Q&amp;A)</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سيتم إرساله إلى مقدّمي العروض</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موعد إغلاق الـ RFP</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27 أكتوبر 2026</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وقت إغلاق الـ RFP</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4:00 مساءً – بتوقيت دمشق، سوريا</w:t>
            </w:r>
          </w:p>
        </w:tc>
      </w:tr>
    </w:tbl>
    <w:p>
      <w:pPr>
        <w:spacing w:after="120"/>
      </w:pPr>
    </w:p>
    <w:p>
      <w:pPr>
        <w:bidi/>
        <w:spacing w:after="100" w:before="0" w:line="300"/>
        <w:jc w:val="start"/>
      </w:pPr>
      <w:r>
        <w:rPr>
          <w:rFonts w:ascii="Arial" w:cs="Arial" w:eastAsia="Arial" w:hAnsi="Arial"/>
          <w:sz w:val="22"/>
          <w:szCs w:val="22"/>
          <w:rtl/>
        </w:rPr>
        <w:t xml:space="preserve">نرفق طلب تقديم العروض (RFP). تدعو Creative الشركات المؤهلة إلى تقديم عرض بأفضل سعر لتقييم مركز البيانات وتصميم المعمارية وجدول الكميات (BoQ) والتوريد والتركيب والتهيئة (Configuration) والتشغيل التجريبي (Commissioning) والتسليم (Handover) لمركز البيانات والبنية التحتية المرتبطة به، دعمًا لوزارة الإدارة المحلية والبيئة (MOLAE) في دمشق، سوريا، وذلك بموجب عقد Creative Associates International, Inc. واتفاقية NEA التعاونية المشار إليها. وبعد إجراء التقييم كما هو موضح في هذه الوثيقة واختيار العرض الفائز، فإن إصدار الترسية يخضع لنجاح التفاوض على الشروط والأحكام.</w:t>
      </w:r>
    </w:p>
    <w:p>
      <w:pPr>
        <w:bidi/>
        <w:spacing w:after="100" w:before="0" w:line="300"/>
        <w:jc w:val="start"/>
      </w:pPr>
      <w:r>
        <w:rPr>
          <w:rFonts w:ascii="Arial" w:cs="Arial" w:eastAsia="Arial" w:hAnsi="Arial"/>
          <w:sz w:val="22"/>
          <w:szCs w:val="22"/>
          <w:rtl/>
        </w:rPr>
        <w:t xml:space="preserve">تُوصف متطلبات هذا الـ RFP في "بيان الأعمال" (Statement of Work – SoW) في الملحق I. وتشجّع Creative شركتكم على إبداء اهتمامها بهذه المناقصة عبر تقديم عرض وفق التعليمات الواردة في الملحق II "تعليمات مقدّمي العروض". وسيتم تقييم العروض وفق "معايير التقييم" في الملحق III. وسترسّي Creative العقد على مقدّم العرض المسؤول الذي يقدّم عرضًا يحقق أفضل قيمة للمشروع (Best Value): حيث يؤخذ في الاعتبار الجدارة الفنية والسعر معًا.</w:t>
      </w:r>
    </w:p>
    <w:p>
      <w:pPr>
        <w:bidi/>
        <w:spacing w:after="100" w:before="0" w:line="300"/>
        <w:jc w:val="start"/>
      </w:pPr>
      <w:r>
        <w:rPr>
          <w:rFonts w:ascii="Arial" w:cs="Arial" w:eastAsia="Arial" w:hAnsi="Arial"/>
          <w:sz w:val="22"/>
          <w:szCs w:val="22"/>
          <w:rtl/>
        </w:rPr>
        <w:t xml:space="preserve">ولكي يُنظر في العرض، ينبغي على مقدّمي العروض تقديم خطاب اهتمام (Letter of Interest – LOI) في موعد أقصاه تاريخ الإغلاق المذكور أعلاه، وتقديم عرض كامل في موعد أقصاه تاريخ ووقت الإغلاق المذكورين أعلاه. وعلى مقدّمي العروض التأكد من أن عروضهم مكتوبة بلغة إنكليزية جيدة وسهلة القراءة، وأنها تتبع التعليمات المقدّمة وتحتوي على المعلومات المطلوبة فقط.</w:t>
      </w:r>
    </w:p>
    <w:p>
      <w:pPr>
        <w:bidi/>
        <w:spacing w:after="100" w:before="0" w:line="300"/>
        <w:jc w:val="start"/>
      </w:pPr>
      <w:r>
        <w:rPr>
          <w:rFonts w:ascii="Arial" w:cs="Arial" w:eastAsia="Arial" w:hAnsi="Arial"/>
          <w:b/>
          <w:bCs/>
          <w:sz w:val="22"/>
          <w:szCs w:val="22"/>
          <w:rtl/>
        </w:rPr>
        <w:t xml:space="preserve">الزيارة الميدانية الفعلية (Site Visit) إلزامية قبل تقديم العرض. سيتم رفض عروض مقدّمي العروض الذين لم يحضروها باعتبارها غير مستجيبة (non-responsive).</w:t>
      </w:r>
      <w:r>
        <w:rPr>
          <w:rFonts w:ascii="Arial" w:cs="Arial" w:eastAsia="Arial" w:hAnsi="Arial"/>
          <w:sz w:val="22"/>
          <w:szCs w:val="22"/>
          <w:rtl/>
        </w:rPr>
        <w:t xml:space="preserve"> ترتيبات الزيارة الميدانية موضحة في الملحق I، القسم C.</w:t>
      </w:r>
    </w:p>
    <w:p>
      <w:pPr>
        <w:bidi/>
        <w:spacing w:after="100" w:before="0" w:line="300"/>
        <w:jc w:val="start"/>
      </w:pPr>
      <w:r>
        <w:rPr>
          <w:rFonts w:ascii="Arial" w:cs="Arial" w:eastAsia="Arial" w:hAnsi="Arial"/>
          <w:sz w:val="22"/>
          <w:szCs w:val="22"/>
          <w:rtl/>
        </w:rPr>
        <w:t xml:space="preserve">يجب إرسال أي أسئلة بالبريد الإلكتروني إلى Procurement-syria@furatlogs.com في موعد أقصاه ثلاثة أيام بعد موعد جلسة الأسئلة والأجوبة الخاصة بهذا الـ RFP. لن يُنظر في أي أسئلة ترد بوسيلة أخرى غير عنوان البريد المحدد، وسيؤدي أي تواصل عبر عناوين بريد بديلة إلى استبعاد مقدّم العرض. ويجب ذكر رقم المناقصة (RFP-FURAT-III-009-2026) في سطر الموضوع. وسيتم تجميع الإجابات وتوزيعها خلال ثلاثة أيام من تاريخ إغلاق الأسئلة.</w:t>
      </w:r>
    </w:p>
    <w:p>
      <w:pPr>
        <w:bidi/>
        <w:spacing w:after="100" w:before="0" w:line="300"/>
        <w:jc w:val="start"/>
      </w:pPr>
      <w:r>
        <w:rPr>
          <w:rFonts w:ascii="Arial" w:cs="Arial" w:eastAsia="Arial" w:hAnsi="Arial"/>
          <w:sz w:val="22"/>
          <w:szCs w:val="22"/>
          <w:rtl/>
        </w:rPr>
        <w:t xml:space="preserve">يجب أن تتكوّن العروض من نسخة إلكترونية واحدة من العرض الفني (Technical Proposal) ونسخة إلكترونية واحدة من العرض المالي/التجاري (Cost/Business Proposal)، تُرسلان في رسالتي بريد إلكتروني منفصلتين، وتحملان رقم الـ RFP وعنوانه المذكورين أعلاه. وتُسلَّم العروض إلى: إدارة المشتريات في Creative (Creative Procurement Department) على البريد الإلكتروني: Procurement-syria@furatlogs.com</w:t>
      </w:r>
    </w:p>
    <w:p>
      <w:pPr>
        <w:bidi/>
        <w:spacing w:after="100" w:before="0" w:line="300"/>
        <w:jc w:val="start"/>
      </w:pPr>
      <w:r>
        <w:rPr>
          <w:rFonts w:ascii="Arial" w:cs="Arial" w:eastAsia="Arial" w:hAnsi="Arial"/>
          <w:sz w:val="22"/>
          <w:szCs w:val="22"/>
          <w:rtl/>
        </w:rPr>
        <w:t xml:space="preserve">مع فائق التقدير،</w:t>
      </w:r>
    </w:p>
    <w:p>
      <w:pPr>
        <w:bidi/>
        <w:spacing w:after="100" w:before="0" w:line="300"/>
        <w:jc w:val="start"/>
      </w:pPr>
      <w:r>
        <w:rPr>
          <w:rFonts w:ascii="Arial" w:cs="Arial" w:eastAsia="Arial" w:hAnsi="Arial"/>
          <w:b/>
          <w:bCs/>
          <w:sz w:val="22"/>
          <w:szCs w:val="22"/>
          <w:rtl/>
        </w:rPr>
        <w:t xml:space="preserve">إدارة المشتريات – Creative Procurement Department</w:t>
      </w:r>
    </w:p>
    <w:p>
      <w:pPr>
        <w:pStyle w:val="Heading3"/>
        <w:keepNext/>
        <w:bidi/>
        <w:spacing w:after="80" w:before="160"/>
        <w:jc w:val="start"/>
      </w:pPr>
      <w:r>
        <w:rPr>
          <w:rFonts w:ascii="Arial" w:cs="Arial" w:eastAsia="Arial" w:hAnsi="Arial"/>
          <w:b/>
          <w:bCs/>
          <w:color w:val="404040"/>
          <w:sz w:val="23"/>
          <w:szCs w:val="23"/>
          <w:rtl/>
        </w:rPr>
        <w:t xml:space="preserve">المرفقات (Attachments)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المرفق</w:t>
            </w:r>
          </w:p>
        </w:tc>
        <w:tc>
          <w:tcPr>
            <w:tcW w:type="dxa" w:w="68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العنوان</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بيان الأعمال (Statement of Work)</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II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تعليمات مقدّمي العروض (Instructions to Offerors)</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III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معايير التقييم (Evaluation Criteria)</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IV</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خطاب تغطية العرض (Proposal Cover Letter)</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V</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شهادة الامتثال (Compliance Certification)</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VI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شروط وأحكام Creative (Creative Terms and Conditions)</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Attachment VII</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جدول الكميات — المواصفات الفنية المرجعية (Bill of Quantities — Reference Technical Specifications)</w:t>
            </w:r>
          </w:p>
        </w:tc>
      </w:tr>
    </w:tbl>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I: بيان الأعمال (Statement of Work)</w:t>
      </w:r>
    </w:p>
    <w:p>
      <w:pPr>
        <w:pStyle w:val="Heading2"/>
        <w:keepNext/>
        <w:bidi/>
        <w:spacing w:after="120" w:before="240"/>
        <w:jc w:val="start"/>
      </w:pPr>
      <w:r>
        <w:rPr>
          <w:rFonts w:ascii="Arial" w:cs="Arial" w:eastAsia="Arial" w:hAnsi="Arial"/>
          <w:b/>
          <w:bCs/>
          <w:color w:val="2E5597"/>
          <w:sz w:val="26"/>
          <w:szCs w:val="26"/>
          <w:rtl/>
        </w:rPr>
        <w:t xml:space="preserve">1. الغرض (Purpose)</w:t>
      </w:r>
    </w:p>
    <w:p>
      <w:pPr>
        <w:bidi/>
        <w:spacing w:after="100" w:before="0" w:line="300"/>
        <w:jc w:val="start"/>
      </w:pPr>
      <w:r>
        <w:rPr>
          <w:rFonts w:ascii="Arial" w:cs="Arial" w:eastAsia="Arial" w:hAnsi="Arial"/>
          <w:sz w:val="22"/>
          <w:szCs w:val="22"/>
          <w:rtl/>
        </w:rPr>
        <w:t xml:space="preserve">الغرض من هذا الـ RFP هو التعاقد على خدمات مهنية متخصصة لتقييم متطلبات MOLAE الحالية وتطوير حل آمن ومناسب الحجم (right-sized) وقابل للتوسع لمركز البيانات والبنية التحتية للشبكة. وسيكون مقدّم العرض المختار مسؤولًا عن تقييم المتطلبات، وتطوير التصميم الفني، وإعداد جدول الكميات (BoQ) وتقييمه، وتقديم ميزانية تفصيلية للحل المقترح.</w:t>
      </w:r>
    </w:p>
    <w:p>
      <w:pPr>
        <w:bidi/>
        <w:spacing w:after="100" w:before="0" w:line="300"/>
        <w:jc w:val="start"/>
      </w:pPr>
      <w:r>
        <w:rPr>
          <w:rFonts w:ascii="Arial" w:cs="Arial" w:eastAsia="Arial" w:hAnsi="Arial"/>
          <w:sz w:val="22"/>
          <w:szCs w:val="22"/>
          <w:rtl/>
        </w:rPr>
        <w:t xml:space="preserve">الغرض من هذا الطلب هو تحديث (retrofit) وتشغيل مركز بيانات داخل موقع استضافة مشتركة (co-hosting location) في دمشق، سوريا، يُعلن عنه في مرحلة لاحقة. وسيوفّر موقع الاستضافة المشتركة المرافق المادية للاستضافة، والربط الشبكي، وإجراءات الأمن السيبراني، والضوابط البيئية، والطاقة الاحتياطية، والدعم الفني اللازم لضمان التوافر العالي (high availability) واستمرارية الأعمال (business continuity) والتشغيل الآمن للخدمات الرقمية الحرجة.</w:t>
      </w:r>
    </w:p>
    <w:p>
      <w:pPr>
        <w:bidi/>
        <w:spacing w:after="100" w:before="0" w:line="300"/>
        <w:jc w:val="start"/>
      </w:pPr>
      <w:r>
        <w:rPr>
          <w:rFonts w:ascii="Arial" w:cs="Arial" w:eastAsia="Arial" w:hAnsi="Arial"/>
          <w:sz w:val="22"/>
          <w:szCs w:val="22"/>
          <w:rtl/>
        </w:rPr>
        <w:t xml:space="preserve">سيكون مركز البيانات المُفعَّل حديثًا منصة البنية التحتية المركزية لتخزين ومعالجة البيانات من خمسة (5) مراكز بيانات محلية موزعة على خمسة مواقع مختلفة في سوريا، مع دعم الأرشفة والرقمنة على مراحل لدفعة الأرشيف ذات الأولوية الأولى المكوّنة من خمسة (5) ملايين عقد. ويجب أن يدعم الحل المقترح ما يصل إلى 1,000 مستخدم متزامن (concurrent users) للنظام، وأن يوفّر بنية تحتية قابلة للتوسع وموثوقة وعالية الأداء قادرة على دعم الخدمات الرقمية الحالية والمستقبلية للوزارة.</w:t>
      </w:r>
    </w:p>
    <w:p>
      <w:pPr>
        <w:bidi/>
        <w:spacing w:after="100" w:before="0" w:line="300"/>
        <w:jc w:val="start"/>
      </w:pPr>
      <w:r>
        <w:rPr>
          <w:rFonts w:ascii="Arial" w:cs="Arial" w:eastAsia="Arial" w:hAnsi="Arial"/>
          <w:sz w:val="22"/>
          <w:szCs w:val="22"/>
          <w:rtl/>
        </w:rPr>
        <w:t xml:space="preserve">توفّر Creative/MOLAE جدول كميات فنيًا مرجعيًا (Baseline Technical BoQ) (الملحق VII) يحدد الحد الأدنى من فئات المعدات والكميات والمتطلبات الفنية القائمة على الأداء. وعلى مقدّمي العروض مراجعة هذا الجدول والتحقق منه وتسعيره ضمن العرض المالي/التجاري. ويجوز لمقدّمي العروض اقتراح بدائل أفضل فنيًا أو مكافئة عند وجود مبرر، شريطة أن تستوفي هذه البدائل الحد الأدنى للمتطلبات المذكورة أو تتجاوزه، وأن تُحدَّد بوضوح في مصفوفة الامتثال (Compliance Matrix) وفي العرض الفني.</w:t>
      </w:r>
    </w:p>
    <w:p>
      <w:pPr>
        <w:bidi/>
        <w:spacing w:after="100" w:before="0" w:line="300"/>
        <w:jc w:val="start"/>
      </w:pPr>
      <w:r>
        <w:rPr>
          <w:rFonts w:ascii="Arial" w:cs="Arial" w:eastAsia="Arial" w:hAnsi="Arial"/>
          <w:sz w:val="22"/>
          <w:szCs w:val="22"/>
          <w:rtl/>
        </w:rPr>
        <w:t xml:space="preserve">ستتكوّن البنية التحتية الدنيا المطلوبة من: أربعة (4) خوادم مؤسسية عالية الكثافة (High-Density Enterprise Servers)، وخادمين (2) مؤسسيين للذكاء الاصطناعي/وحدات معالجة الرسوميات (Enterprise AI/GPU Servers)، وخمسة (5) خوادم رف مؤسسية (Enterprise Rack Servers)، إضافة إلى نظام تخزين SAN مؤسسي (Enterprise SAN Storage System) بسعة قابلة للاستخدام لا تقل عن 450 TB، ومحوّلَي (2) SAN مؤسسيين بتقنية Fiber Channel بسرعة 32Gb، ومحوّلَي (2) شبكة مراكز بيانات عاليي السرعة يدعمان اتصال 25GbE/100GbE. كما يجب أن يشمل الحل جميع محوّلات الشبكة وFiber Channel اللازمة، وموصّلات SFP/الـ transceivers، والكابلات، وملحقات الرفوف، والتراخيص، ومكونات الإدارة، ومكونات الطاقة والتبريد الاحتياطية (redundant)، وخدمات الضمان والدعم على مستوى المؤسسات اللازمة لتقديم بنية تحتية لمركز بيانات متكاملة ومتكاملة التشغيل بالكامل.</w:t>
      </w:r>
    </w:p>
    <w:p>
      <w:pPr>
        <w:bidi/>
        <w:spacing w:after="100" w:before="0" w:line="300"/>
        <w:jc w:val="start"/>
      </w:pPr>
      <w:r>
        <w:rPr>
          <w:rFonts w:ascii="Arial" w:cs="Arial" w:eastAsia="Arial" w:hAnsi="Arial"/>
          <w:sz w:val="22"/>
          <w:szCs w:val="22"/>
          <w:rtl/>
        </w:rPr>
        <w:t xml:space="preserve">إن المعمارية وجدول الكميات (BoQ) والميزانية التفصيلية هي مخرجات استجابة مقدّم العرض لهذا الـ RFP، ويجب استكمالها وتقديمها بناءً على نطاق العمل في الملحق I والمتطلبات الفنية المقترحة في الملحق VII. تحدد Creative النتائج المطلوبة، والسعة التي يجب أن يتحملها النظام، والظروف التي يجب أن يعمل ضمنها. ويقوم مقدّم العرض بتقييم تلك المتطلبات وتصميم حل وتقييم الخيارات وإعداد جدول كميات محدَّث ومسعَّر. وأي تصميم أو جدول كميات أو مخرجات أداة تهيئة (configurator) جرى تعميمها سابقًا من أي طرف تُعد ملغاة ولا تشكّل جزءًا من هذه المناقصة، ولا تمنح أي أفضلية للطرف الذي أعدّها.</w:t>
      </w:r>
    </w:p>
    <w:p>
      <w:pPr>
        <w:bidi/>
        <w:spacing w:after="100" w:before="0" w:line="300"/>
        <w:jc w:val="start"/>
      </w:pPr>
      <w:r>
        <w:rPr>
          <w:rFonts w:ascii="Arial" w:cs="Arial" w:eastAsia="Arial" w:hAnsi="Arial"/>
          <w:sz w:val="22"/>
          <w:szCs w:val="22"/>
          <w:rtl/>
        </w:rPr>
        <w:t xml:space="preserve">يتضمن الـ RFP مرحلتين:</w:t>
      </w:r>
    </w:p>
    <w:p>
      <w:pPr>
        <w:pStyle w:val="ListParagraph"/>
        <w:numPr>
          <w:ilvl w:val="0"/>
          <w:numId w:val="2"/>
        </w:numPr>
        <w:bidi/>
        <w:spacing w:after="60" w:line="290"/>
        <w:jc w:val="start"/>
      </w:pPr>
      <w:r>
        <w:rPr>
          <w:rFonts w:ascii="Arial" w:cs="Arial" w:eastAsia="Arial" w:hAnsi="Arial"/>
          <w:b/>
          <w:bCs/>
          <w:sz w:val="22"/>
          <w:szCs w:val="22"/>
          <w:rtl/>
        </w:rPr>
        <w:t xml:space="preserve">المرحلة 1 (Stage 1):</w:t>
      </w:r>
      <w:r>
        <w:rPr>
          <w:rFonts w:ascii="Arial" w:cs="Arial" w:eastAsia="Arial" w:hAnsi="Arial"/>
          <w:sz w:val="22"/>
          <w:szCs w:val="22"/>
          <w:rtl/>
        </w:rPr>
        <w:t xml:space="preserve"> لا يُقطع أي التزام بالشراء قبل توقيع الاتفاقية مع مقدّم العرض المختار.</w:t>
      </w:r>
    </w:p>
    <w:p>
      <w:pPr>
        <w:pStyle w:val="ListParagraph"/>
        <w:numPr>
          <w:ilvl w:val="0"/>
          <w:numId w:val="2"/>
        </w:numPr>
        <w:bidi/>
        <w:spacing w:after="60" w:line="290"/>
        <w:jc w:val="start"/>
      </w:pPr>
      <w:r>
        <w:rPr>
          <w:rFonts w:ascii="Arial" w:cs="Arial" w:eastAsia="Arial" w:hAnsi="Arial"/>
          <w:b/>
          <w:bCs/>
          <w:sz w:val="22"/>
          <w:szCs w:val="22"/>
          <w:rtl/>
        </w:rPr>
        <w:t xml:space="preserve">المرحلة 2 (Stage 2):</w:t>
      </w:r>
      <w:r>
        <w:rPr>
          <w:rFonts w:ascii="Arial" w:cs="Arial" w:eastAsia="Arial" w:hAnsi="Arial"/>
          <w:sz w:val="22"/>
          <w:szCs w:val="22"/>
          <w:rtl/>
        </w:rPr>
        <w:t xml:space="preserve"> لا يُطلب أو يُشحن أو يُركَّب أي شيء إلى أن يتم اجتياز بوابة مراجعة التصميم (Design Review Gate) واعتمادها، ويجتاز مقدّم العرض الفائز فحص التدقيق RAM Vetting.</w:t>
      </w:r>
    </w:p>
    <w:p>
      <w:pPr>
        <w:bidi/>
        <w:spacing w:after="100" w:before="0" w:line="300"/>
        <w:jc w:val="start"/>
      </w:pPr>
      <w:r>
        <w:rPr>
          <w:rFonts w:ascii="Arial" w:cs="Arial" w:eastAsia="Arial" w:hAnsi="Arial"/>
          <w:sz w:val="22"/>
          <w:szCs w:val="22"/>
          <w:rtl/>
        </w:rPr>
        <w:t xml:space="preserve">بعد اعتماد بوابة مراجعة التصميم واستكمال المرحلة 2، سيقوم مقدّم العرض المختار بتوريد الحل المعتمد وتركيبه وتهيئته واختباره وتشغيله تجريبيًا وتوثيقه، كما سيدرّب الكوادر ويسلّم النظام المركَّب ويقدّم جميع الوثائق ذات الصلة. والهدف العام هو إنشاء البنية التحتية اللازمة لدعم إدارة التحول الرقمي (Digital Transformation Department) في MOLAE كما هو موضح أدناه.</w:t>
      </w:r>
    </w:p>
    <w:p>
      <w:pPr>
        <w:pStyle w:val="Heading2"/>
        <w:keepNext/>
        <w:bidi/>
        <w:spacing w:after="120" w:before="240"/>
        <w:jc w:val="start"/>
      </w:pPr>
      <w:r>
        <w:rPr>
          <w:rFonts w:ascii="Arial" w:cs="Arial" w:eastAsia="Arial" w:hAnsi="Arial"/>
          <w:b/>
          <w:bCs/>
          <w:color w:val="2E5597"/>
          <w:sz w:val="26"/>
          <w:szCs w:val="26"/>
          <w:rtl/>
        </w:rPr>
        <w:t xml:space="preserve">2. الخلفية (Background)</w:t>
      </w:r>
    </w:p>
    <w:p>
      <w:pPr>
        <w:bidi/>
        <w:spacing w:after="100" w:before="0" w:line="300"/>
        <w:jc w:val="start"/>
      </w:pPr>
      <w:r>
        <w:rPr>
          <w:rFonts w:ascii="Arial" w:cs="Arial" w:eastAsia="Arial" w:hAnsi="Arial"/>
          <w:sz w:val="22"/>
          <w:szCs w:val="22"/>
          <w:rtl/>
        </w:rPr>
        <w:t xml:space="preserve">لا تزال عمليات سجل الملكية العقارية ورقية إلى حد كبير، وتحتفظ الوزارة بأرشيف تاريخي يضم أكثر من اثني عشر (12) مليون عقد ورقي وأكثر من ستين ألف (60,000) سجل تتطلب الأرشفة والرقمنة على مراحل خلال السنوات الثلاث القادمة.</w:t>
      </w:r>
    </w:p>
    <w:p>
      <w:pPr>
        <w:bidi/>
        <w:spacing w:after="100" w:before="0" w:line="300"/>
        <w:jc w:val="start"/>
      </w:pPr>
      <w:r>
        <w:rPr>
          <w:rFonts w:ascii="Arial" w:cs="Arial" w:eastAsia="Arial" w:hAnsi="Arial"/>
          <w:sz w:val="22"/>
          <w:szCs w:val="22"/>
          <w:rtl/>
        </w:rPr>
        <w:t xml:space="preserve">ستخضع المعمارية النهائية وجدول الكميات لمراجعة مستقلة من لجنة فنية ولجنة مشتريات، وتعتمدهما الوزارة قبل أي طلب توريد. وللجنة الحق في أن تطلب من مقدّم العرض مراجعة عرضه وتحسينه لضمان أنه يعكس متطلبات SoW بالكامل. ويجوز لمقدّم العرض، عند الضرورة، تعديل الميزانية بما يعكس تلك المراجعات.</w:t>
      </w:r>
    </w:p>
    <w:p>
      <w:pPr>
        <w:bidi/>
        <w:spacing w:after="100" w:before="0" w:line="300"/>
        <w:jc w:val="start"/>
      </w:pPr>
      <w:r>
        <w:rPr>
          <w:rFonts w:ascii="Arial" w:cs="Arial" w:eastAsia="Arial" w:hAnsi="Arial"/>
          <w:sz w:val="22"/>
          <w:szCs w:val="22"/>
          <w:rtl/>
        </w:rPr>
        <w:t xml:space="preserve">لا يجوز المضي في أي عملية شراء أو شحن قبل استكمال مراجعات ضوابط التصدير (export-control) والعقوبات (sanctions) والتراخيص الفنية (technical-licensing) وموافقات الحكومة المضيفة (host-government).</w:t>
      </w:r>
    </w:p>
    <w:p>
      <w:pPr>
        <w:bidi/>
        <w:spacing w:after="100" w:before="0" w:line="300"/>
        <w:jc w:val="start"/>
      </w:pPr>
      <w:r>
        <w:rPr>
          <w:rFonts w:ascii="Arial" w:cs="Arial" w:eastAsia="Arial" w:hAnsi="Arial"/>
          <w:sz w:val="22"/>
          <w:szCs w:val="22"/>
          <w:rtl/>
        </w:rPr>
        <w:t xml:space="preserve">يغطي هذا الـ RFP المرحلة الأولى (Phase 1) من برنامج البنية التحتية. وستقود الوزارة المراحل اللاحقة، مما يتيح توسيع الحوسبة والتخزين والفروع والمستخدمين دون استبدال استثمارات المرحلة الأولى. ويجب أن تحترم جميع الحلول المقترحة سيادة البيانات (data sovereignty): إذ لا يجوز استضافة أي بيانات للوزارة أو معالجتها أو نقلها أو نسخها احتياطيًا خارج بيئة الوزارة المعتمدة رسميًا دون موافقة خطية مسبقة. ويجب أن يكون تصميم مقدّم العرض متناسبًا مع قدرة الوزارة على تشغيل الحل وصيانته بعد التسليم؛ فالتعقيد الذي لا تستطيع الوزارة الاستمرار فيه هو عبء وليس ميزة. إن إمكانية الخدمة في دمشق، وتوافر قطع الغيار، ووجود مقدّم العرض محليًا، ومُهَل التوريد داخل البلد هي معايير تصميم وليست تفاصيل شرائية.</w:t>
      </w:r>
    </w:p>
    <w:p>
      <w:pPr>
        <w:pStyle w:val="Heading2"/>
        <w:keepNext/>
        <w:bidi/>
        <w:spacing w:after="120" w:before="240"/>
        <w:jc w:val="start"/>
      </w:pPr>
      <w:r>
        <w:rPr>
          <w:rFonts w:ascii="Arial" w:cs="Arial" w:eastAsia="Arial" w:hAnsi="Arial"/>
          <w:b/>
          <w:bCs/>
          <w:color w:val="2E5597"/>
          <w:sz w:val="26"/>
          <w:szCs w:val="26"/>
          <w:rtl/>
        </w:rPr>
        <w:t xml:space="preserve">3. بيان الأعمال (Statement of Work)</w:t>
      </w:r>
    </w:p>
    <w:p>
      <w:pPr>
        <w:bidi/>
        <w:spacing w:after="100" w:before="0" w:line="300"/>
        <w:jc w:val="start"/>
      </w:pPr>
      <w:r>
        <w:rPr>
          <w:rFonts w:ascii="Arial" w:cs="Arial" w:eastAsia="Arial" w:hAnsi="Arial"/>
          <w:sz w:val="22"/>
          <w:szCs w:val="22"/>
          <w:rtl/>
        </w:rPr>
        <w:t xml:space="preserve">بموجب هذا الـ RFP، سيعمل مقدّم العرض بشكل وثيق مع وزارة الإدارة المحلية والبيئة (MOLAE)، وممثل فني معيّن من MOLAE، وكوادر Creative الفنية والمشتريات. ويجب على مقدّم العرض:</w:t>
      </w:r>
    </w:p>
    <w:p>
      <w:pPr>
        <w:pStyle w:val="ListParagraph"/>
        <w:numPr>
          <w:ilvl w:val="0"/>
          <w:numId w:val="3"/>
        </w:numPr>
        <w:bidi/>
        <w:spacing w:after="60" w:line="290"/>
        <w:jc w:val="start"/>
      </w:pPr>
      <w:r>
        <w:rPr>
          <w:rFonts w:ascii="Arial" w:cs="Arial" w:eastAsia="Arial" w:hAnsi="Arial"/>
          <w:sz w:val="22"/>
          <w:szCs w:val="22"/>
          <w:rtl/>
        </w:rPr>
        <w:t xml:space="preserve">إجراء تقييم فني شامل لمرفق مركز البيانات المعيّن وبيئة تشغيل الوزارة لإرساء قاعدة الأدلة لجميع قرارات التصميم اللاحقة؛</w:t>
      </w:r>
    </w:p>
    <w:p>
      <w:pPr>
        <w:pStyle w:val="ListParagraph"/>
        <w:numPr>
          <w:ilvl w:val="0"/>
          <w:numId w:val="3"/>
        </w:numPr>
        <w:bidi/>
        <w:spacing w:after="60" w:line="290"/>
        <w:jc w:val="start"/>
      </w:pPr>
      <w:r>
        <w:rPr>
          <w:rFonts w:ascii="Arial" w:cs="Arial" w:eastAsia="Arial" w:hAnsi="Arial"/>
          <w:sz w:val="22"/>
          <w:szCs w:val="22"/>
          <w:rtl/>
        </w:rPr>
        <w:t xml:space="preserve">تصميم معمارية مركز بيانات وشبكة قابلة للتوسع تغطي الحوسبة والتخزين والشبكة وخدمات التنفيذ؛</w:t>
      </w:r>
    </w:p>
    <w:p>
      <w:pPr>
        <w:pStyle w:val="ListParagraph"/>
        <w:numPr>
          <w:ilvl w:val="0"/>
          <w:numId w:val="3"/>
        </w:numPr>
        <w:bidi/>
        <w:spacing w:after="60" w:line="290"/>
        <w:jc w:val="start"/>
      </w:pPr>
      <w:r>
        <w:rPr>
          <w:rFonts w:ascii="Arial" w:cs="Arial" w:eastAsia="Arial" w:hAnsi="Arial"/>
          <w:sz w:val="22"/>
          <w:szCs w:val="22"/>
          <w:rtl/>
        </w:rPr>
        <w:t xml:space="preserve">تطوير معمارية موثوقة؛</w:t>
      </w:r>
    </w:p>
    <w:p>
      <w:pPr>
        <w:pStyle w:val="ListParagraph"/>
        <w:numPr>
          <w:ilvl w:val="0"/>
          <w:numId w:val="3"/>
        </w:numPr>
        <w:bidi/>
        <w:spacing w:after="60" w:line="290"/>
        <w:jc w:val="start"/>
      </w:pPr>
      <w:r>
        <w:rPr>
          <w:rFonts w:ascii="Arial" w:cs="Arial" w:eastAsia="Arial" w:hAnsi="Arial"/>
          <w:sz w:val="22"/>
          <w:szCs w:val="22"/>
          <w:rtl/>
        </w:rPr>
        <w:t xml:space="preserve">ترجمة التصميم المعتمد إلى جدول كميات (BoQ) كامل وقابل للشراء ومحايد تجاه مقدّمي العروض (Offeror-neutral) وميزانية تفصيلية، ودعم مراجعة Creative والوزارة واعتمادهما؛</w:t>
      </w:r>
    </w:p>
    <w:p>
      <w:pPr>
        <w:pStyle w:val="ListParagraph"/>
        <w:numPr>
          <w:ilvl w:val="0"/>
          <w:numId w:val="3"/>
        </w:numPr>
        <w:bidi/>
        <w:spacing w:after="60" w:line="290"/>
        <w:jc w:val="start"/>
      </w:pPr>
      <w:r>
        <w:rPr>
          <w:rFonts w:ascii="Arial" w:cs="Arial" w:eastAsia="Arial" w:hAnsi="Arial"/>
          <w:sz w:val="22"/>
          <w:szCs w:val="22"/>
          <w:rtl/>
        </w:rPr>
        <w:t xml:space="preserve">بعد اجتياز بوابة مراجعة التصميم (Design Review Gate) وفحص RAM Vetting بنجاح، يقوم مقدّم العرض بتوريد الحل المعتمد وتركيبه وتهيئته واختباره وتشغيله تجريبيًا وفق التصميم وجدول الكميات المعتمدين؛</w:t>
      </w:r>
    </w:p>
    <w:p>
      <w:pPr>
        <w:pStyle w:val="ListParagraph"/>
        <w:numPr>
          <w:ilvl w:val="0"/>
          <w:numId w:val="3"/>
        </w:numPr>
        <w:bidi/>
        <w:spacing w:after="60" w:line="290"/>
        <w:jc w:val="start"/>
      </w:pPr>
      <w:r>
        <w:rPr>
          <w:rFonts w:ascii="Arial" w:cs="Arial" w:eastAsia="Arial" w:hAnsi="Arial"/>
          <w:sz w:val="22"/>
          <w:szCs w:val="22"/>
          <w:rtl/>
        </w:rPr>
        <w:t xml:space="preserve">توثيق الحل المكتمل وتدريب الكوادر وتسليمه لضمان امتلاك الوزارة المعرفة والوثائق والموارد اللازمة لتشغيل الحل وصيانته وإدارته واستدامته، بما في ذلك فهم متطلبات الميزانية الجارية.</w:t>
      </w:r>
    </w:p>
    <w:p>
      <w:pPr>
        <w:bidi/>
        <w:spacing w:after="100" w:before="100" w:line="300"/>
        <w:jc w:val="start"/>
      </w:pPr>
      <w:r>
        <w:rPr>
          <w:rFonts w:ascii="Arial" w:cs="Arial" w:eastAsia="Arial" w:hAnsi="Arial"/>
          <w:sz w:val="22"/>
          <w:szCs w:val="22"/>
          <w:rtl/>
        </w:rPr>
        <w:t xml:space="preserve">على جميع مقدّمي العروض إكمال الخطوات التالية كجزء من عملية تقديم العرض:</w:t>
      </w:r>
    </w:p>
    <w:p>
      <w:pPr>
        <w:pStyle w:val="ListParagraph"/>
        <w:numPr>
          <w:ilvl w:val="0"/>
          <w:numId w:val="2"/>
        </w:numPr>
        <w:bidi/>
        <w:spacing w:after="60" w:line="290"/>
        <w:jc w:val="start"/>
      </w:pPr>
      <w:r>
        <w:rPr>
          <w:rFonts w:ascii="Arial" w:cs="Arial" w:eastAsia="Arial" w:hAnsi="Arial"/>
          <w:b/>
          <w:bCs/>
          <w:sz w:val="22"/>
          <w:szCs w:val="22"/>
          <w:rtl/>
        </w:rPr>
        <w:t xml:space="preserve">تقديم خطاب اهتمام (Letter of Interest):</w:t>
      </w:r>
      <w:r>
        <w:rPr>
          <w:rFonts w:ascii="Arial" w:cs="Arial" w:eastAsia="Arial" w:hAnsi="Arial"/>
          <w:sz w:val="22"/>
          <w:szCs w:val="22"/>
          <w:rtl/>
        </w:rPr>
        <w:t xml:space="preserve"> تقديم خطاب اهتمام بالتقدم لهذا الـ RFP في موعد أقصاه تسعة (9) أيام تقويمية من تاريخ إصدار الـ RFP. لن تتم دعوة سوى مقدّمي العروض الذين قدّموا خطاب الاهتمام ضمن المدة المحددة إلى الزيارة الميدانية. (لا يشترط نموذج محدد)</w:t>
      </w:r>
    </w:p>
    <w:p>
      <w:pPr>
        <w:pStyle w:val="ListParagraph"/>
        <w:numPr>
          <w:ilvl w:val="0"/>
          <w:numId w:val="2"/>
        </w:numPr>
        <w:bidi/>
        <w:spacing w:after="60" w:line="290"/>
        <w:jc w:val="start"/>
      </w:pPr>
      <w:r>
        <w:rPr>
          <w:rFonts w:ascii="Arial" w:cs="Arial" w:eastAsia="Arial" w:hAnsi="Arial"/>
          <w:b/>
          <w:bCs/>
          <w:sz w:val="22"/>
          <w:szCs w:val="22"/>
          <w:rtl/>
        </w:rPr>
        <w:t xml:space="preserve">المشاركة في الزيارة الميدانية (Site Visit):</w:t>
      </w:r>
      <w:r>
        <w:rPr>
          <w:rFonts w:ascii="Arial" w:cs="Arial" w:eastAsia="Arial" w:hAnsi="Arial"/>
          <w:sz w:val="22"/>
          <w:szCs w:val="22"/>
          <w:rtl/>
        </w:rPr>
        <w:t xml:space="preserve"> إجراء مسح شامل للموقع (site survey) في التاريخ الذي تحدده Creative/MOLAE. وسيتم إبلاغ مقدّمي العروض المؤهلين بالتاريخ والوقت والترتيبات اللوجستية عبر البريد الإلكتروني.</w:t>
      </w:r>
    </w:p>
    <w:p>
      <w:pPr>
        <w:pStyle w:val="ListParagraph"/>
        <w:numPr>
          <w:ilvl w:val="0"/>
          <w:numId w:val="2"/>
        </w:numPr>
        <w:bidi/>
        <w:spacing w:after="60" w:line="290"/>
        <w:jc w:val="start"/>
      </w:pPr>
      <w:r>
        <w:rPr>
          <w:rFonts w:ascii="Arial" w:cs="Arial" w:eastAsia="Arial" w:hAnsi="Arial"/>
          <w:b/>
          <w:bCs/>
          <w:sz w:val="22"/>
          <w:szCs w:val="22"/>
          <w:rtl/>
        </w:rPr>
        <w:t xml:space="preserve">المشاركة في جلسة الأسئلة والأجوبة (Q&amp;A):</w:t>
      </w:r>
      <w:r>
        <w:rPr>
          <w:rFonts w:ascii="Arial" w:cs="Arial" w:eastAsia="Arial" w:hAnsi="Arial"/>
          <w:sz w:val="22"/>
          <w:szCs w:val="22"/>
          <w:rtl/>
        </w:rPr>
        <w:t xml:space="preserve"> يُدعى مقدّمو العروض الذين أجروا الزيارة الميدانية إلى المشاركة في جلسة الأسئلة والأجوبة في MOLAE في التاريخ الذي تحدده Creative/MOLAE.</w:t>
      </w:r>
    </w:p>
    <w:p>
      <w:pPr>
        <w:pStyle w:val="ListParagraph"/>
        <w:numPr>
          <w:ilvl w:val="0"/>
          <w:numId w:val="2"/>
        </w:numPr>
        <w:bidi/>
        <w:spacing w:after="60" w:line="290"/>
        <w:jc w:val="start"/>
      </w:pPr>
      <w:r>
        <w:rPr>
          <w:rFonts w:ascii="Arial" w:cs="Arial" w:eastAsia="Arial" w:hAnsi="Arial"/>
          <w:b/>
          <w:bCs/>
          <w:sz w:val="22"/>
          <w:szCs w:val="22"/>
          <w:rtl/>
        </w:rPr>
        <w:t xml:space="preserve">تقديم العرض الفني والتصميم المقترح والوثائق الإدارية المطلوبة:</w:t>
      </w:r>
      <w:r>
        <w:rPr>
          <w:rFonts w:ascii="Arial" w:cs="Arial" w:eastAsia="Arial" w:hAnsi="Arial"/>
          <w:sz w:val="22"/>
          <w:szCs w:val="22"/>
          <w:rtl/>
        </w:rPr>
        <w:t xml:space="preserve"> تقديم عرض فني شامل يتضمن تقييمًا للمرفق المعيّن يغطي أحمال العمل (workloads) والتخزين والبنية التحتية للشبكة والاتصال والمتطلبات الفنية الأخرى ذات الصلة، إضافة إلى فحص ضوابط التصدير والعقوبات والتراخيص الفنية المطلوب. ويجب أن يتضمن العرض أيضًا معمارية مركز بيانات وشبكة كاملة ومناسبة الحجم وبنودًا صريحة لقابلية التوسع (scalability) لدعم المرحلة الثانية (Phase 2) التي تقودها الوزارة. ويجب أن يتضمن التقديم الوثائق الإدارية التالية:</w:t>
      </w:r>
    </w:p>
    <w:p>
      <w:pPr>
        <w:pStyle w:val="ListParagraph"/>
        <w:numPr>
          <w:ilvl w:val="1"/>
          <w:numId w:val="2"/>
        </w:numPr>
        <w:bidi/>
        <w:spacing w:after="60" w:line="290"/>
        <w:jc w:val="start"/>
      </w:pPr>
      <w:r>
        <w:rPr>
          <w:rFonts w:ascii="Arial" w:cs="Arial" w:eastAsia="Arial" w:hAnsi="Arial"/>
          <w:b/>
          <w:bCs/>
          <w:sz w:val="22"/>
          <w:szCs w:val="22"/>
          <w:rtl/>
        </w:rPr>
        <w:t xml:space="preserve">خطاب تغطية مقدّم العرض (الملحق IV):</w:t>
      </w:r>
      <w:r>
        <w:rPr>
          <w:rFonts w:ascii="Arial" w:cs="Arial" w:eastAsia="Arial" w:hAnsi="Arial"/>
          <w:sz w:val="22"/>
          <w:szCs w:val="22"/>
          <w:rtl/>
        </w:rPr>
        <w:t xml:space="preserve"> خطاب تغطية مكتمل وموقّع باستخدام النموذج المرفق كملحق IV.</w:t>
      </w:r>
    </w:p>
    <w:p>
      <w:pPr>
        <w:pStyle w:val="ListParagraph"/>
        <w:numPr>
          <w:ilvl w:val="1"/>
          <w:numId w:val="2"/>
        </w:numPr>
        <w:bidi/>
        <w:spacing w:after="60" w:line="290"/>
        <w:jc w:val="start"/>
      </w:pPr>
      <w:r>
        <w:rPr>
          <w:rFonts w:ascii="Arial" w:cs="Arial" w:eastAsia="Arial" w:hAnsi="Arial"/>
          <w:b/>
          <w:bCs/>
          <w:sz w:val="22"/>
          <w:szCs w:val="22"/>
          <w:rtl/>
        </w:rPr>
        <w:t xml:space="preserve">رخصة عمل سارية (Valid Business License):</w:t>
      </w:r>
      <w:r>
        <w:rPr>
          <w:rFonts w:ascii="Arial" w:cs="Arial" w:eastAsia="Arial" w:hAnsi="Arial"/>
          <w:sz w:val="22"/>
          <w:szCs w:val="22"/>
          <w:rtl/>
        </w:rPr>
        <w:t xml:space="preserve"> رخصة عمل سارية أو وثيقة تسجيل قانونية مكافئة تثبت أن مقدّم العرض مخوّل قانونًا بمزاولة الأنشطة المقترحة.</w:t>
      </w:r>
    </w:p>
    <w:p>
      <w:pPr>
        <w:pStyle w:val="ListParagraph"/>
        <w:numPr>
          <w:ilvl w:val="0"/>
          <w:numId w:val="2"/>
        </w:numPr>
        <w:bidi/>
        <w:spacing w:after="60" w:line="290"/>
        <w:jc w:val="start"/>
      </w:pPr>
      <w:r>
        <w:rPr>
          <w:rFonts w:ascii="Arial" w:cs="Arial" w:eastAsia="Arial" w:hAnsi="Arial"/>
          <w:b/>
          <w:bCs/>
          <w:sz w:val="22"/>
          <w:szCs w:val="22"/>
          <w:rtl/>
        </w:rPr>
        <w:t xml:space="preserve">تقديم جدول الكميات والميزانية (BoQ and Budget):</w:t>
      </w:r>
      <w:r>
        <w:rPr>
          <w:rFonts w:ascii="Arial" w:cs="Arial" w:eastAsia="Arial" w:hAnsi="Arial"/>
          <w:sz w:val="22"/>
          <w:szCs w:val="22"/>
          <w:rtl/>
        </w:rPr>
        <w:t xml:space="preserve"> تقديم جدول كميات (BoQ) مفصّل ومحايد تجاه مقدّمي العروض بمواصفات قائمة على الأداء، وميزانية تفصيلية قائمة على السوق (market-based) مرتبطة بحدود الميزانية المعتمدة (approved budget envelope).</w:t>
      </w:r>
    </w:p>
    <w:p>
      <w:pPr>
        <w:pStyle w:val="ListParagraph"/>
        <w:numPr>
          <w:ilvl w:val="0"/>
          <w:numId w:val="2"/>
        </w:numPr>
        <w:bidi/>
        <w:spacing w:after="60" w:line="290"/>
        <w:jc w:val="start"/>
      </w:pPr>
      <w:r>
        <w:rPr>
          <w:rFonts w:ascii="Arial" w:cs="Arial" w:eastAsia="Arial" w:hAnsi="Arial"/>
          <w:b/>
          <w:bCs/>
          <w:sz w:val="22"/>
          <w:szCs w:val="22"/>
          <w:rtl/>
        </w:rPr>
        <w:t xml:space="preserve">مراجعة العرض والتوضيحات:</w:t>
      </w:r>
      <w:r>
        <w:rPr>
          <w:rFonts w:ascii="Arial" w:cs="Arial" w:eastAsia="Arial" w:hAnsi="Arial"/>
          <w:sz w:val="22"/>
          <w:szCs w:val="22"/>
          <w:rtl/>
        </w:rPr>
        <w:t xml:space="preserve"> عرض الحل الفني المقترح على Creative وMOLAE عند الطلب، والرد على أي أسئلة توضيحية أو ملاحظات فنية تُثار أثناء عملية التقييم.</w:t>
      </w:r>
    </w:p>
    <w:p>
      <w:pPr>
        <w:bidi/>
        <w:spacing w:after="100" w:before="100" w:line="300"/>
        <w:jc w:val="start"/>
      </w:pPr>
      <w:r>
        <w:rPr>
          <w:rFonts w:ascii="Arial" w:cs="Arial" w:eastAsia="Arial" w:hAnsi="Arial"/>
          <w:sz w:val="22"/>
          <w:szCs w:val="22"/>
          <w:rtl/>
        </w:rPr>
        <w:t xml:space="preserve">تشكّل المتطلبات أعلاه تقديم مقدّم العرض بموجب هذا الـ RFP. ولا يجوز البدء بأي أنشطة توريد أو تركيب أو تهيئة أو تشغيل تجريبي كجزء من عملية تقديم العرض.</w:t>
      </w:r>
    </w:p>
    <w:p>
      <w:pPr>
        <w:pStyle w:val="Heading3"/>
        <w:keepNext/>
        <w:bidi/>
        <w:spacing w:after="80" w:before="160"/>
        <w:jc w:val="start"/>
      </w:pPr>
      <w:r>
        <w:rPr>
          <w:rFonts w:ascii="Arial" w:cs="Arial" w:eastAsia="Arial" w:hAnsi="Arial"/>
          <w:b/>
          <w:bCs/>
          <w:color w:val="404040"/>
          <w:sz w:val="23"/>
          <w:szCs w:val="23"/>
          <w:rtl/>
        </w:rPr>
        <w:t xml:space="preserve">الأنشطة بعد الاختيار (Activities Following Selection)</w:t>
      </w:r>
    </w:p>
    <w:p>
      <w:pPr>
        <w:bidi/>
        <w:spacing w:after="100" w:before="0" w:line="300"/>
        <w:jc w:val="start"/>
      </w:pPr>
      <w:r>
        <w:rPr>
          <w:rFonts w:ascii="Arial" w:cs="Arial" w:eastAsia="Arial" w:hAnsi="Arial"/>
          <w:sz w:val="22"/>
          <w:szCs w:val="22"/>
          <w:rtl/>
        </w:rPr>
        <w:t xml:space="preserve">بعد تقييم مقدّم العرض الناجح واختياره، ومع مراعاة الموافقات المطلوبة والتدقيق وإصدار العقد، سيكون مقدّم العرض المختار مسؤولًا عمّا يلي:</w:t>
      </w:r>
    </w:p>
    <w:p>
      <w:pPr>
        <w:pStyle w:val="ListParagraph"/>
        <w:numPr>
          <w:ilvl w:val="0"/>
          <w:numId w:val="2"/>
        </w:numPr>
        <w:bidi/>
        <w:spacing w:after="60" w:line="290"/>
        <w:jc w:val="start"/>
      </w:pPr>
      <w:r>
        <w:rPr>
          <w:rFonts w:ascii="Arial" w:cs="Arial" w:eastAsia="Arial" w:hAnsi="Arial"/>
          <w:b/>
          <w:bCs/>
          <w:sz w:val="22"/>
          <w:szCs w:val="22"/>
          <w:rtl/>
        </w:rPr>
        <w:t xml:space="preserve">إنهاء التصميم (Finalize the Design):</w:t>
      </w:r>
      <w:r>
        <w:rPr>
          <w:rFonts w:ascii="Arial" w:cs="Arial" w:eastAsia="Arial" w:hAnsi="Arial"/>
          <w:sz w:val="22"/>
          <w:szCs w:val="22"/>
          <w:rtl/>
        </w:rPr>
        <w:t xml:space="preserve"> العمل مع فرق Creative الفنية والمشتريات والوزارة لإدراج الملاحظات المتفق عليها وإنهاء حزمة التصميم وجدول الكميات. وقد يُطلب من مقدّم العرض الناجح مراجعة عرضه وتحسينه لضمان أنه يعكس SoW المطلوب بالكامل. وحيثما أدت هذه المراجعات إلى تكاليف إضافية أو مخفّضة، يجوز تعديل الميزانية وفقًا لذلك، بعد مراجعة Creative واعتمادها.</w:t>
      </w:r>
    </w:p>
    <w:p>
      <w:pPr>
        <w:pStyle w:val="ListParagraph"/>
        <w:numPr>
          <w:ilvl w:val="0"/>
          <w:numId w:val="2"/>
        </w:numPr>
        <w:bidi/>
        <w:spacing w:after="60" w:line="290"/>
        <w:jc w:val="start"/>
      </w:pPr>
      <w:r>
        <w:rPr>
          <w:rFonts w:ascii="Arial" w:cs="Arial" w:eastAsia="Arial" w:hAnsi="Arial"/>
          <w:b/>
          <w:bCs/>
          <w:sz w:val="22"/>
          <w:szCs w:val="22"/>
          <w:rtl/>
        </w:rPr>
        <w:t xml:space="preserve">الحصول على التصاريح المطلوبة (Obtain Required Clearances):</w:t>
      </w:r>
      <w:r>
        <w:rPr>
          <w:rFonts w:ascii="Arial" w:cs="Arial" w:eastAsia="Arial" w:hAnsi="Arial"/>
          <w:sz w:val="22"/>
          <w:szCs w:val="22"/>
          <w:rtl/>
        </w:rPr>
        <w:t xml:space="preserve"> المضي في عمليات تحليل وإدارة المخاطر (Risk Analysis and Management – RAM Vetting) والحصول على التصاريح والموافقات اللازمة قبل التنفيذ.</w:t>
      </w:r>
    </w:p>
    <w:p>
      <w:pPr>
        <w:pStyle w:val="ListParagraph"/>
        <w:numPr>
          <w:ilvl w:val="0"/>
          <w:numId w:val="2"/>
        </w:numPr>
        <w:bidi/>
        <w:spacing w:after="60" w:line="290"/>
        <w:jc w:val="start"/>
      </w:pPr>
      <w:r>
        <w:rPr>
          <w:rFonts w:ascii="Arial" w:cs="Arial" w:eastAsia="Arial" w:hAnsi="Arial"/>
          <w:b/>
          <w:bCs/>
          <w:sz w:val="22"/>
          <w:szCs w:val="22"/>
          <w:rtl/>
        </w:rPr>
        <w:t xml:space="preserve">التوريد والتركيب (Supply and Install):</w:t>
      </w:r>
      <w:r>
        <w:rPr>
          <w:rFonts w:ascii="Arial" w:cs="Arial" w:eastAsia="Arial" w:hAnsi="Arial"/>
          <w:sz w:val="22"/>
          <w:szCs w:val="22"/>
          <w:rtl/>
        </w:rPr>
        <w:t xml:space="preserve"> بعد التصريح والإذن بالمباشرة، توريد الحل المعتمد وتركيبه وتهيئته وتشغيله تجريبيًا واختباره وفق التصميم النهائي وجدول الكميات المعتمد.</w:t>
      </w:r>
    </w:p>
    <w:p>
      <w:pPr>
        <w:pStyle w:val="ListParagraph"/>
        <w:numPr>
          <w:ilvl w:val="0"/>
          <w:numId w:val="2"/>
        </w:numPr>
        <w:bidi/>
        <w:spacing w:after="60" w:line="290"/>
        <w:jc w:val="start"/>
      </w:pPr>
      <w:r>
        <w:rPr>
          <w:rFonts w:ascii="Arial" w:cs="Arial" w:eastAsia="Arial" w:hAnsi="Arial"/>
          <w:b/>
          <w:bCs/>
          <w:sz w:val="22"/>
          <w:szCs w:val="22"/>
          <w:rtl/>
        </w:rPr>
        <w:t xml:space="preserve">اختبار القبول (Acceptance Testing):</w:t>
      </w:r>
      <w:r>
        <w:rPr>
          <w:rFonts w:ascii="Arial" w:cs="Arial" w:eastAsia="Arial" w:hAnsi="Arial"/>
          <w:sz w:val="22"/>
          <w:szCs w:val="22"/>
          <w:rtl/>
        </w:rPr>
        <w:t xml:space="preserve"> إثبات الامتثال للمواصفات الفنية المعتمدة ومعايير قبول الموقع الموضوعية (Site Acceptance Criteria – SAC). وسيتم التحقق من الحل المُسلَّم بندًا ببند مقابل جدول الكميات المعتمد قبل القبول النهائي.</w:t>
      </w:r>
    </w:p>
    <w:p>
      <w:pPr>
        <w:pStyle w:val="ListParagraph"/>
        <w:numPr>
          <w:ilvl w:val="0"/>
          <w:numId w:val="2"/>
        </w:numPr>
        <w:bidi/>
        <w:spacing w:after="60" w:line="290"/>
        <w:jc w:val="start"/>
      </w:pPr>
      <w:r>
        <w:rPr>
          <w:rFonts w:ascii="Arial" w:cs="Arial" w:eastAsia="Arial" w:hAnsi="Arial"/>
          <w:b/>
          <w:bCs/>
          <w:sz w:val="22"/>
          <w:szCs w:val="22"/>
          <w:rtl/>
        </w:rPr>
        <w:t xml:space="preserve">التدريب والتسليم (Training and Handover):</w:t>
      </w:r>
      <w:r>
        <w:rPr>
          <w:rFonts w:ascii="Arial" w:cs="Arial" w:eastAsia="Arial" w:hAnsi="Arial"/>
          <w:sz w:val="22"/>
          <w:szCs w:val="22"/>
          <w:rtl/>
        </w:rPr>
        <w:t xml:space="preserve"> تقديم الوثائق الفنية والتشغيلية المطلوبة، وتدريب كوادر الوزارة المعيّنين، وتسليم النظام المكتمل رسميًا.</w:t>
      </w:r>
    </w:p>
    <w:p>
      <w:pPr>
        <w:pStyle w:val="ListParagraph"/>
        <w:numPr>
          <w:ilvl w:val="0"/>
          <w:numId w:val="2"/>
        </w:numPr>
        <w:bidi/>
        <w:spacing w:after="60" w:line="290"/>
        <w:jc w:val="start"/>
      </w:pPr>
      <w:r>
        <w:rPr>
          <w:rFonts w:ascii="Arial" w:cs="Arial" w:eastAsia="Arial" w:hAnsi="Arial"/>
          <w:b/>
          <w:bCs/>
          <w:sz w:val="22"/>
          <w:szCs w:val="22"/>
          <w:rtl/>
        </w:rPr>
        <w:t xml:space="preserve">حزمة التسليم النهائية (Final Handover Package):</w:t>
      </w:r>
      <w:r>
        <w:rPr>
          <w:rFonts w:ascii="Arial" w:cs="Arial" w:eastAsia="Arial" w:hAnsi="Arial"/>
          <w:sz w:val="22"/>
          <w:szCs w:val="22"/>
          <w:rtl/>
        </w:rPr>
        <w:t xml:space="preserve"> يجب أن يتضمن التسليم، كحد أدنى، وثائق ما بعد التنفيذ (as-built documentation) النهائية، وسجل الأصول (asset register)، وترتيبات الضمان، ووثائق النظام والتهيئة، وخطة استدامة وتشغيل وصيانة (O&amp;M plan) مكلَّفة.</w:t>
      </w:r>
    </w:p>
    <w:p>
      <w:pPr>
        <w:pStyle w:val="Heading2"/>
        <w:keepNext/>
        <w:bidi/>
        <w:spacing w:after="120" w:before="240"/>
        <w:jc w:val="start"/>
      </w:pPr>
      <w:r>
        <w:rPr>
          <w:rFonts w:ascii="Arial" w:cs="Arial" w:eastAsia="Arial" w:hAnsi="Arial"/>
          <w:b/>
          <w:bCs/>
          <w:color w:val="2E5597"/>
          <w:sz w:val="26"/>
          <w:szCs w:val="26"/>
          <w:rtl/>
        </w:rPr>
        <w:t xml:space="preserve">4. مدة التنفيذ (Period of Performance)</w:t>
      </w:r>
    </w:p>
    <w:p>
      <w:pPr>
        <w:bidi/>
        <w:spacing w:after="100" w:before="0" w:line="300"/>
        <w:jc w:val="start"/>
      </w:pPr>
      <w:r>
        <w:rPr>
          <w:rFonts w:ascii="Arial" w:cs="Arial" w:eastAsia="Arial" w:hAnsi="Arial"/>
          <w:sz w:val="22"/>
          <w:szCs w:val="22"/>
          <w:rtl/>
        </w:rPr>
        <w:t xml:space="preserve">المدة الإجمالية لهذه المهمة ثلاثة (3) أشهر من تاريخ تنفيذ العقد.</w:t>
      </w:r>
    </w:p>
    <w:p>
      <w:pPr>
        <w:pStyle w:val="Heading2"/>
        <w:keepNext/>
        <w:bidi/>
        <w:spacing w:after="120" w:before="240"/>
        <w:jc w:val="start"/>
      </w:pPr>
      <w:r>
        <w:rPr>
          <w:rFonts w:ascii="Arial" w:cs="Arial" w:eastAsia="Arial" w:hAnsi="Arial"/>
          <w:b/>
          <w:bCs/>
          <w:color w:val="2E5597"/>
          <w:sz w:val="26"/>
          <w:szCs w:val="26"/>
          <w:rtl/>
        </w:rPr>
        <w:t xml:space="preserve">5. مكان التنفيذ (Place of Performance)</w:t>
      </w:r>
    </w:p>
    <w:p>
      <w:pPr>
        <w:bidi/>
        <w:spacing w:after="100" w:before="0" w:line="300"/>
        <w:jc w:val="start"/>
      </w:pPr>
      <w:r>
        <w:rPr>
          <w:rFonts w:ascii="Arial" w:cs="Arial" w:eastAsia="Arial" w:hAnsi="Arial"/>
          <w:sz w:val="22"/>
          <w:szCs w:val="22"/>
          <w:rtl/>
        </w:rPr>
        <w:t xml:space="preserve">ستُنفَّذ جميع الأنشطة بموجب هذا الـ RFP في الموقع وبمشاركة وثيقة وجوهرية من MOLAE في دمشق، سوريا، مع التنسيق مع شريك الاستضافة المشتركة (co-host partner) التابع لـ MOLAE عند الحاجة؛ ويُسمح بالعمل خارج الموقع لمهام التحليل والتصميم والتوثيق.</w:t>
      </w:r>
    </w:p>
    <w:p>
      <w:pPr>
        <w:pStyle w:val="Heading2"/>
        <w:keepNext/>
        <w:bidi/>
        <w:spacing w:after="120" w:before="240"/>
        <w:jc w:val="start"/>
      </w:pPr>
      <w:r>
        <w:rPr>
          <w:rFonts w:ascii="Arial" w:cs="Arial" w:eastAsia="Arial" w:hAnsi="Arial"/>
          <w:b/>
          <w:bCs/>
          <w:color w:val="2E5597"/>
          <w:sz w:val="26"/>
          <w:szCs w:val="26"/>
          <w:rtl/>
        </w:rPr>
        <w:t xml:space="preserve">6. المخرجات (Deliverables)</w:t>
      </w:r>
    </w:p>
    <w:p>
      <w:pPr>
        <w:pStyle w:val="Heading3"/>
        <w:keepNext/>
        <w:bidi/>
        <w:spacing w:after="80" w:before="160"/>
        <w:jc w:val="start"/>
      </w:pPr>
      <w:r>
        <w:rPr>
          <w:rFonts w:ascii="Arial" w:cs="Arial" w:eastAsia="Arial" w:hAnsi="Arial"/>
          <w:b/>
          <w:bCs/>
          <w:color w:val="404040"/>
          <w:sz w:val="23"/>
          <w:szCs w:val="23"/>
          <w:rtl/>
        </w:rPr>
        <w:t xml:space="preserve">6.1 عملية تقديم العرض والمخرجات (Proposal Submission Process and Deliverables)</w:t>
      </w:r>
    </w:p>
    <w:p>
      <w:pPr>
        <w:bidi/>
        <w:spacing w:after="100" w:before="0" w:line="300"/>
        <w:jc w:val="start"/>
      </w:pPr>
      <w:r>
        <w:rPr>
          <w:rFonts w:ascii="Arial" w:cs="Arial" w:eastAsia="Arial" w:hAnsi="Arial"/>
          <w:sz w:val="22"/>
          <w:szCs w:val="22"/>
          <w:rtl/>
        </w:rPr>
        <w:t xml:space="preserve">بموجب هذا الـ RFP، على جميع مقدّمي العروض إكمال الخطوات التالية كجزء من عملية تقديم العرض وتقديم المخرجات المقابلة المحددة أدناه: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المهمة (Task)</w:t>
            </w:r>
          </w:p>
        </w:tc>
        <w:tc>
          <w:tcPr>
            <w:tcW w:type="dxa" w:w="68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المخرج المطلوب (Deliverable Submission)</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1.1 خطاب الاهتمام (Letter of Interest)</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خطاب اهتمام بالتقدم لهذا الـ RFP في موعد أقصاه تسعة (9) أيام تقويمية من تاريخ الإصدار. لن تتم دعوة سوى مقدّمي العروض الذين قدّموا الخطاب ضمن المدة إلى الزيارة الميدانية.</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خطاب اهتمام يؤكد نية مقدّم العرض المشاركة في عملية الـ RFP. (لا يشترط نموذج محدد)</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1.2 الزيارة الميدانية والمسح الأولي للموقع (Site Visit and Initial Site Survey)</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المشاركة في مسح شامل للموقع وإجرائه في التاريخ الذي تحدده Creative/MOLAE. يُبلَّغ مقدّمو العروض المؤهلون بالتاريخ والوقت والترتيبات اللوجستية عبر البريد الإلكتروني. وتُعقد جلسة Q&amp;A بعد الزيارة لمعالجة أي أسئلة فنية أو إدارية أو قانونية.</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دمج نتائج مسح الموقع في العرض الفني لمقدّم العرض.</w:t>
            </w:r>
          </w:p>
          <w:p>
            <w:pPr>
              <w:bidi/>
              <w:spacing w:after="20" w:line="264"/>
              <w:jc w:val="start"/>
            </w:pPr>
            <w:r>
              <w:rPr>
                <w:rFonts w:ascii="Arial" w:cs="Arial" w:eastAsia="Arial" w:hAnsi="Arial"/>
                <w:b w:val="false"/>
                <w:bCs w:val="false"/>
                <w:sz w:val="19"/>
                <w:szCs w:val="19"/>
                <w:rtl/>
              </w:rPr>
              <w:t xml:space="preserve">b. تحديد ظروف الموقع الرئيسية والقيود والافتراضات والمتطلبات ذات الصلة بالحل المقترح.</w:t>
            </w:r>
          </w:p>
          <w:p>
            <w:pPr>
              <w:bidi/>
              <w:spacing w:after="20" w:line="264"/>
              <w:jc w:val="start"/>
            </w:pPr>
          </w:p>
          <w:p>
            <w:pPr>
              <w:bidi/>
              <w:spacing w:after="20" w:line="264"/>
              <w:jc w:val="start"/>
            </w:pPr>
            <w:r>
              <w:rPr>
                <w:rFonts w:ascii="Arial" w:cs="Arial" w:eastAsia="Arial" w:hAnsi="Arial"/>
                <w:b w:val="false"/>
                <w:bCs w:val="false"/>
                <w:sz w:val="19"/>
                <w:szCs w:val="19"/>
                <w:rtl/>
              </w:rPr>
              <w:t xml:space="preserve">لا تُعد الزيارة الميدانية بحد ذاتها مخرجًا فنيًا مستقلًا؛ ومع ذلك يجب أن تنعكس نتائجها وملاحظاتها في العرض المقدّم.</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1.3 التقييم الفني والتصميم المقترح (Technical Assessment and Proposed Design)</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عرض فني شامل يتضمن الوثائق الإدارية ووثائق الأهلية المطلوبة، إضافة إلى تقييم للمرفق المعيّن يغطي أحمال العمل والتخزين والبنية التحتية للشبكة والاتصال والمتطلبات الفنية الأخرى ذات الصلة. ويجب أن يتضمن التقديم أيضًا فحص ضوابط التصدير والعقوبات والتراخيص الفنية المطلوب، إضافة إلى معمارية شبكة كاملة وبنود صريحة لقابلية التوسع لدعم المرحلة الثانية التي تقودها الوزارة.</w:t>
            </w:r>
          </w:p>
          <w:p>
            <w:pPr>
              <w:bidi/>
              <w:spacing w:after="20" w:line="264"/>
              <w:jc w:val="start"/>
            </w:pPr>
          </w:p>
          <w:p>
            <w:pPr>
              <w:bidi/>
              <w:spacing w:after="20" w:line="264"/>
              <w:jc w:val="start"/>
            </w:pPr>
            <w:r>
              <w:rPr>
                <w:rFonts w:ascii="Arial" w:cs="Arial" w:eastAsia="Arial" w:hAnsi="Arial"/>
                <w:b/>
                <w:bCs/>
                <w:sz w:val="19"/>
                <w:szCs w:val="19"/>
                <w:rtl/>
              </w:rPr>
              <w:t xml:space="preserve">A. الوثائق الإدارية ووثائق الأهلية</w:t>
            </w:r>
          </w:p>
          <w:p>
            <w:pPr>
              <w:bidi/>
              <w:spacing w:after="20" w:line="264"/>
              <w:jc w:val="start"/>
            </w:pPr>
            <w:r>
              <w:rPr>
                <w:rFonts w:ascii="Arial" w:cs="Arial" w:eastAsia="Arial" w:hAnsi="Arial"/>
                <w:b w:val="false"/>
                <w:bCs w:val="false"/>
                <w:sz w:val="19"/>
                <w:szCs w:val="19"/>
                <w:rtl/>
              </w:rPr>
              <w:t xml:space="preserve">1. خطاب تغطية مقدّم العرض (الملحق IV): خطاب مكتمل وموقّع باستخدام النموذج المرفق.</w:t>
            </w:r>
          </w:p>
          <w:p>
            <w:pPr>
              <w:bidi/>
              <w:spacing w:after="20" w:line="264"/>
              <w:jc w:val="start"/>
            </w:pPr>
            <w:r>
              <w:rPr>
                <w:rFonts w:ascii="Arial" w:cs="Arial" w:eastAsia="Arial" w:hAnsi="Arial"/>
                <w:b w:val="false"/>
                <w:bCs w:val="false"/>
                <w:sz w:val="19"/>
                <w:szCs w:val="19"/>
                <w:rtl/>
              </w:rPr>
              <w:t xml:space="preserve">2. رخصة عمل سورية سارية، أو وثيقة تسجيل قانونية مكافئة مقبولة بموجب القوانين والأنظمة السورية المعمول بها، تثبت أن مقدّم العرض مخوّل قانونًا بمزاولة الأنشطة المقترحة.</w:t>
            </w:r>
          </w:p>
          <w:p>
            <w:pPr>
              <w:bidi/>
              <w:spacing w:after="20" w:line="264"/>
              <w:jc w:val="start"/>
            </w:pPr>
          </w:p>
          <w:p>
            <w:pPr>
              <w:bidi/>
              <w:spacing w:after="20" w:line="264"/>
              <w:jc w:val="start"/>
            </w:pPr>
            <w:r>
              <w:rPr>
                <w:rFonts w:ascii="Arial" w:cs="Arial" w:eastAsia="Arial" w:hAnsi="Arial"/>
                <w:b/>
                <w:bCs/>
                <w:sz w:val="19"/>
                <w:szCs w:val="19"/>
                <w:rtl/>
              </w:rPr>
              <w:t xml:space="preserve">B. العرض الفني والتقييم:</w:t>
            </w:r>
            <w:r>
              <w:rPr>
                <w:rFonts w:ascii="Arial" w:cs="Arial" w:eastAsia="Arial" w:hAnsi="Arial"/>
                <w:b w:val="false"/>
                <w:bCs w:val="false"/>
                <w:sz w:val="19"/>
                <w:szCs w:val="19"/>
                <w:rtl/>
              </w:rPr>
              <w:t xml:space="preserve"> يجب أن يتضمن العرض:</w:t>
            </w:r>
          </w:p>
          <w:p>
            <w:pPr>
              <w:bidi/>
              <w:spacing w:after="20" w:line="264"/>
              <w:jc w:val="start"/>
            </w:pPr>
            <w:r>
              <w:rPr>
                <w:rFonts w:ascii="Arial" w:cs="Arial" w:eastAsia="Arial" w:hAnsi="Arial"/>
                <w:b w:val="false"/>
                <w:bCs w:val="false"/>
                <w:sz w:val="19"/>
                <w:szCs w:val="19"/>
                <w:rtl/>
              </w:rPr>
              <w:t xml:space="preserve">1. </w:t>
            </w:r>
            <w:r>
              <w:rPr>
                <w:rFonts w:ascii="Arial" w:cs="Arial" w:eastAsia="Arial" w:hAnsi="Arial"/>
                <w:b/>
                <w:bCs/>
                <w:sz w:val="19"/>
                <w:szCs w:val="19"/>
                <w:rtl/>
              </w:rPr>
              <w:t xml:space="preserve">تقييم المرفق (Facility Assessment):</w:t>
            </w:r>
            <w:r>
              <w:rPr>
                <w:rFonts w:ascii="Arial" w:cs="Arial" w:eastAsia="Arial" w:hAnsi="Arial"/>
                <w:b w:val="false"/>
                <w:bCs w:val="false"/>
                <w:sz w:val="19"/>
                <w:szCs w:val="19"/>
                <w:rtl/>
              </w:rPr>
              <w:t xml:space="preserve"> تقييم موثّق للمرفق المعيّن كما لوحظ خلال الزيارة الميدانية، يرسي خط الأساس الذي يُقاس عليه التصميم المقترح.</w:t>
            </w:r>
          </w:p>
          <w:p>
            <w:pPr>
              <w:bidi/>
              <w:spacing w:after="20" w:line="264"/>
              <w:jc w:val="start"/>
            </w:pPr>
            <w:r>
              <w:rPr>
                <w:rFonts w:ascii="Arial" w:cs="Arial" w:eastAsia="Arial" w:hAnsi="Arial"/>
                <w:b w:val="false"/>
                <w:bCs w:val="false"/>
                <w:sz w:val="19"/>
                <w:szCs w:val="19"/>
                <w:rtl/>
              </w:rPr>
              <w:t xml:space="preserve">2. </w:t>
            </w:r>
            <w:r>
              <w:rPr>
                <w:rFonts w:ascii="Arial" w:cs="Arial" w:eastAsia="Arial" w:hAnsi="Arial"/>
                <w:b/>
                <w:bCs/>
                <w:sz w:val="19"/>
                <w:szCs w:val="19"/>
                <w:rtl/>
              </w:rPr>
              <w:t xml:space="preserve">أساس المتطلبات (Requirements Basis):</w:t>
            </w:r>
            <w:r>
              <w:rPr>
                <w:rFonts w:ascii="Arial" w:cs="Arial" w:eastAsia="Arial" w:hAnsi="Arial"/>
                <w:b w:val="false"/>
                <w:bCs w:val="false"/>
                <w:sz w:val="19"/>
                <w:szCs w:val="19"/>
                <w:rtl/>
              </w:rPr>
              <w:t xml:space="preserve"> بيان واضح بمتطلبات السعة والأداء التي بُني التصميم لتلبيتها، وهل كل منها مشتق من تقييم مقدّم العرض أم من متطلبات مقدَّمة من الوزارة. ويجب ذكر أي افتراض جرى في غياب متطلبات مؤكدة صراحةً.</w:t>
            </w:r>
          </w:p>
          <w:p>
            <w:pPr>
              <w:bidi/>
              <w:spacing w:after="20" w:line="264"/>
              <w:jc w:val="start"/>
            </w:pPr>
            <w:r>
              <w:rPr>
                <w:rFonts w:ascii="Arial" w:cs="Arial" w:eastAsia="Arial" w:hAnsi="Arial"/>
                <w:b w:val="false"/>
                <w:bCs w:val="false"/>
                <w:sz w:val="19"/>
                <w:szCs w:val="19"/>
                <w:rtl/>
              </w:rPr>
              <w:t xml:space="preserve">3. </w:t>
            </w:r>
            <w:r>
              <w:rPr>
                <w:rFonts w:ascii="Arial" w:cs="Arial" w:eastAsia="Arial" w:hAnsi="Arial"/>
                <w:b/>
                <w:bCs/>
                <w:sz w:val="19"/>
                <w:szCs w:val="19"/>
                <w:rtl/>
              </w:rPr>
              <w:t xml:space="preserve">تصميم مركز البيانات (Data Center Design):</w:t>
            </w:r>
            <w:r>
              <w:rPr>
                <w:rFonts w:ascii="Arial" w:cs="Arial" w:eastAsia="Arial" w:hAnsi="Arial"/>
                <w:b w:val="false"/>
                <w:bCs w:val="false"/>
                <w:sz w:val="19"/>
                <w:szCs w:val="19"/>
                <w:rtl/>
              </w:rPr>
              <w:t xml:space="preserve"> تصميم كامل ومناسب الحجم لمركز البيانات يغطي، على سبيل المثال لا الحصر:</w:t>
            </w:r>
          </w:p>
          <w:p>
            <w:pPr>
              <w:bidi/>
              <w:spacing w:after="20" w:line="264"/>
              <w:jc w:val="start"/>
            </w:pPr>
            <w:r>
              <w:rPr>
                <w:rFonts w:ascii="Arial" w:cs="Arial" w:eastAsia="Arial" w:hAnsi="Arial"/>
                <w:b w:val="false"/>
                <w:bCs w:val="false"/>
                <w:sz w:val="19"/>
                <w:szCs w:val="19"/>
                <w:rtl/>
              </w:rPr>
              <w:t xml:space="preserve">   • الحوسبة وأحمال العمل — توفير الخوادم/الحوسبة المقترح مقابل متطلبات أحمال العمل المذكورة.</w:t>
            </w:r>
          </w:p>
          <w:p>
            <w:pPr>
              <w:bidi/>
              <w:spacing w:after="20" w:line="264"/>
              <w:jc w:val="start"/>
            </w:pPr>
            <w:r>
              <w:rPr>
                <w:rFonts w:ascii="Arial" w:cs="Arial" w:eastAsia="Arial" w:hAnsi="Arial"/>
                <w:b w:val="false"/>
                <w:bCs w:val="false"/>
                <w:sz w:val="19"/>
                <w:szCs w:val="19"/>
                <w:rtl/>
              </w:rPr>
              <w:t xml:space="preserve">   • التخزين — السعة والمعمارية والتكرار (redundancy) ونهج النسخ الاحتياطي (backup).</w:t>
            </w:r>
          </w:p>
          <w:p>
            <w:pPr>
              <w:bidi/>
              <w:spacing w:after="20" w:line="264"/>
              <w:jc w:val="start"/>
            </w:pPr>
            <w:r>
              <w:rPr>
                <w:rFonts w:ascii="Arial" w:cs="Arial" w:eastAsia="Arial" w:hAnsi="Arial"/>
                <w:b w:val="false"/>
                <w:bCs w:val="false"/>
                <w:sz w:val="19"/>
                <w:szCs w:val="19"/>
                <w:rtl/>
              </w:rPr>
              <w:t xml:space="preserve">4. </w:t>
            </w:r>
            <w:r>
              <w:rPr>
                <w:rFonts w:ascii="Arial" w:cs="Arial" w:eastAsia="Arial" w:hAnsi="Arial"/>
                <w:b/>
                <w:bCs/>
                <w:sz w:val="19"/>
                <w:szCs w:val="19"/>
                <w:rtl/>
              </w:rPr>
              <w:t xml:space="preserve">معمارية الشبكة (Network Architecture):</w:t>
            </w:r>
            <w:r>
              <w:rPr>
                <w:rFonts w:ascii="Arial" w:cs="Arial" w:eastAsia="Arial" w:hAnsi="Arial"/>
                <w:b w:val="false"/>
                <w:bCs w:val="false"/>
                <w:sz w:val="19"/>
                <w:szCs w:val="19"/>
                <w:rtl/>
              </w:rPr>
              <w:t xml:space="preserve"> تصميم شبكة كامل يغطي:</w:t>
            </w:r>
          </w:p>
          <w:p>
            <w:pPr>
              <w:bidi/>
              <w:spacing w:after="20" w:line="264"/>
              <w:jc w:val="start"/>
            </w:pPr>
            <w:r>
              <w:rPr>
                <w:rFonts w:ascii="Arial" w:cs="Arial" w:eastAsia="Arial" w:hAnsi="Arial"/>
                <w:b w:val="false"/>
                <w:bCs w:val="false"/>
                <w:sz w:val="19"/>
                <w:szCs w:val="19"/>
                <w:rtl/>
              </w:rPr>
              <w:t xml:space="preserve">   • طبقات النواة والتوزيع والوصول (Core, distribution, and access layers) مع مخططات طوبولوجيا منطقية وفعلية.</w:t>
            </w:r>
          </w:p>
          <w:p>
            <w:pPr>
              <w:bidi/>
              <w:spacing w:after="20" w:line="264"/>
              <w:jc w:val="start"/>
            </w:pPr>
            <w:r>
              <w:rPr>
                <w:rFonts w:ascii="Arial" w:cs="Arial" w:eastAsia="Arial" w:hAnsi="Arial"/>
                <w:b w:val="false"/>
                <w:bCs w:val="false"/>
                <w:sz w:val="19"/>
                <w:szCs w:val="19"/>
                <w:rtl/>
              </w:rPr>
              <w:t xml:space="preserve">   • أحكام التكرار والمرونة (لا نقاط فشل منفردة (single points of failure) حيثما أمكن عمليًا).</w:t>
            </w:r>
          </w:p>
          <w:p>
            <w:pPr>
              <w:bidi/>
              <w:spacing w:after="20" w:line="264"/>
              <w:jc w:val="start"/>
            </w:pPr>
            <w:r>
              <w:rPr>
                <w:rFonts w:ascii="Arial" w:cs="Arial" w:eastAsia="Arial" w:hAnsi="Arial"/>
                <w:b w:val="false"/>
                <w:bCs w:val="false"/>
                <w:sz w:val="19"/>
                <w:szCs w:val="19"/>
                <w:rtl/>
              </w:rPr>
              <w:t xml:space="preserve">   • الاتصال الداخلي، وحيثما يقع ضمن النطاق الاتصال الخارجي/بمزوّد خدمة الإنترنت (ISP) — مع بيان واضح لحدود الاتصال في العرض.</w:t>
            </w:r>
          </w:p>
          <w:p>
            <w:pPr>
              <w:bidi/>
              <w:spacing w:after="20" w:line="264"/>
              <w:jc w:val="start"/>
            </w:pPr>
            <w:r>
              <w:rPr>
                <w:rFonts w:ascii="Arial" w:cs="Arial" w:eastAsia="Arial" w:hAnsi="Arial"/>
                <w:b w:val="false"/>
                <w:bCs w:val="false"/>
                <w:sz w:val="19"/>
                <w:szCs w:val="19"/>
                <w:rtl/>
              </w:rPr>
              <w:t xml:space="preserve">   • مخطط عنونة IP والتجزئة (segmentation).</w:t>
            </w:r>
          </w:p>
          <w:p>
            <w:pPr>
              <w:bidi/>
              <w:spacing w:after="20" w:line="264"/>
              <w:jc w:val="start"/>
            </w:pPr>
            <w:r>
              <w:rPr>
                <w:rFonts w:ascii="Arial" w:cs="Arial" w:eastAsia="Arial" w:hAnsi="Arial"/>
                <w:b w:val="false"/>
                <w:bCs w:val="false"/>
                <w:sz w:val="19"/>
                <w:szCs w:val="19"/>
                <w:rtl/>
              </w:rPr>
              <w:t xml:space="preserve">5. </w:t>
            </w:r>
            <w:r>
              <w:rPr>
                <w:rFonts w:ascii="Arial" w:cs="Arial" w:eastAsia="Arial" w:hAnsi="Arial"/>
                <w:b/>
                <w:bCs/>
                <w:sz w:val="19"/>
                <w:szCs w:val="19"/>
                <w:rtl/>
              </w:rPr>
              <w:t xml:space="preserve">المعايير والامتثال (Standards and Compliance):</w:t>
            </w:r>
            <w:r>
              <w:rPr>
                <w:rFonts w:ascii="Arial" w:cs="Arial" w:eastAsia="Arial" w:hAnsi="Arial"/>
                <w:b w:val="false"/>
                <w:bCs w:val="false"/>
                <w:sz w:val="19"/>
                <w:szCs w:val="19"/>
                <w:rtl/>
              </w:rPr>
              <w:t xml:space="preserve"> المعايير الصناعية والأطر المرجعية التي يتوافق معها التصميم (مثل مستوى مركز البيانات (data-center tier) والكابلات المهيكلة (structured-cabling) ومعايير الأمن)، وكيفية إثبات الامتثال.</w:t>
            </w:r>
          </w:p>
          <w:p>
            <w:pPr>
              <w:bidi/>
              <w:spacing w:after="20" w:line="264"/>
              <w:jc w:val="start"/>
            </w:pPr>
            <w:r>
              <w:rPr>
                <w:rFonts w:ascii="Arial" w:cs="Arial" w:eastAsia="Arial" w:hAnsi="Arial"/>
                <w:b w:val="false"/>
                <w:bCs w:val="false"/>
                <w:sz w:val="19"/>
                <w:szCs w:val="19"/>
                <w:rtl/>
              </w:rPr>
              <w:t xml:space="preserve">6. </w:t>
            </w:r>
            <w:r>
              <w:rPr>
                <w:rFonts w:ascii="Arial" w:cs="Arial" w:eastAsia="Arial" w:hAnsi="Arial"/>
                <w:b/>
                <w:bCs/>
                <w:sz w:val="19"/>
                <w:szCs w:val="19"/>
                <w:rtl/>
              </w:rPr>
              <w:t xml:space="preserve">فحص ضوابط التصدير والعقوبات والتراخيص الفنية (Export-Control, Sanctions, and Technical-Licensing Screening):</w:t>
            </w:r>
            <w:r>
              <w:rPr>
                <w:rFonts w:ascii="Arial" w:cs="Arial" w:eastAsia="Arial" w:hAnsi="Arial"/>
                <w:b w:val="false"/>
                <w:bCs w:val="false"/>
                <w:sz w:val="19"/>
                <w:szCs w:val="19"/>
                <w:rtl/>
              </w:rPr>
              <w:t xml:space="preserve"> فحص جميع المعدات والبرمجيات والمكونات المقترحة مقابل نظام العقوبات وضوابط التصدير المعمول به، مع ذكر بلد المنشأ (country-of-origin) وهوية المصنّع للبنود الرئيسية المقترحة بوضوح. وتحديد أي بند يتطلب ترخيص تصدير أو استيراد أو ترخيصًا فنيًا، وخطة مقدّم العرض للحصول عليه.</w:t>
            </w:r>
          </w:p>
          <w:p>
            <w:pPr>
              <w:bidi/>
              <w:spacing w:after="20" w:line="264"/>
              <w:jc w:val="start"/>
            </w:pPr>
            <w:r>
              <w:rPr>
                <w:rFonts w:ascii="Arial" w:cs="Arial" w:eastAsia="Arial" w:hAnsi="Arial"/>
                <w:b w:val="false"/>
                <w:bCs w:val="false"/>
                <w:sz w:val="19"/>
                <w:szCs w:val="19"/>
                <w:rtl/>
              </w:rPr>
              <w:t xml:space="preserve">7. </w:t>
            </w:r>
            <w:r>
              <w:rPr>
                <w:rFonts w:ascii="Arial" w:cs="Arial" w:eastAsia="Arial" w:hAnsi="Arial"/>
                <w:b/>
                <w:bCs/>
                <w:sz w:val="19"/>
                <w:szCs w:val="19"/>
                <w:rtl/>
              </w:rPr>
              <w:t xml:space="preserve">نهج التنفيذ المقترح (Proposed implementation approach):</w:t>
            </w:r>
            <w:r>
              <w:rPr>
                <w:rFonts w:ascii="Arial" w:cs="Arial" w:eastAsia="Arial" w:hAnsi="Arial"/>
                <w:b w:val="false"/>
                <w:bCs w:val="false"/>
                <w:sz w:val="19"/>
                <w:szCs w:val="19"/>
                <w:rtl/>
              </w:rPr>
              <w:t xml:space="preserve"> خطة عالية المستوى لمرحلة التوريد والتركيب والتهيئة والتشغيل التجريبي والاختبار بعد الترسية، بما في ذلك التسلسل والجدول الزمني/المعالم المقترحة وكيفية إدارة تعطيل الموقع.</w:t>
            </w:r>
          </w:p>
          <w:p>
            <w:pPr>
              <w:bidi/>
              <w:spacing w:after="20" w:line="264"/>
              <w:jc w:val="start"/>
            </w:pPr>
            <w:r>
              <w:rPr>
                <w:rFonts w:ascii="Arial" w:cs="Arial" w:eastAsia="Arial" w:hAnsi="Arial"/>
                <w:b w:val="false"/>
                <w:bCs w:val="false"/>
                <w:sz w:val="19"/>
                <w:szCs w:val="19"/>
                <w:rtl/>
              </w:rPr>
              <w:t xml:space="preserve">8. </w:t>
            </w:r>
            <w:r>
              <w:rPr>
                <w:rFonts w:ascii="Arial" w:cs="Arial" w:eastAsia="Arial" w:hAnsi="Arial"/>
                <w:b/>
                <w:bCs/>
                <w:sz w:val="19"/>
                <w:szCs w:val="19"/>
                <w:rtl/>
              </w:rPr>
              <w:t xml:space="preserve">الافتراضات الفنية الرئيسية والاعتماديات والمخاطر والقيود وتدابير التخفيف (Key Technical Assumptions, Dependencies, Risks, Constraints, and Mitigation Measures).</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1.4 جدول الكميات والميزانية (Bill of Quantities and Budget)</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على مقدّم العرض مراجعة جدول الكميات الفني المقدَّم في الملحق VII والتحقق منه، وتقديم جدول كميات مكتمل ومسعَّر كجزء من العرض المالي/التجاري.</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تسعير جميع البنود الواردة في جدول الكميات الفني المرجعي.</w:t>
            </w:r>
          </w:p>
          <w:p>
            <w:pPr>
              <w:bidi/>
              <w:spacing w:after="20" w:line="264"/>
              <w:jc w:val="start"/>
            </w:pPr>
            <w:r>
              <w:rPr>
                <w:rFonts w:ascii="Arial" w:cs="Arial" w:eastAsia="Arial" w:hAnsi="Arial"/>
                <w:b w:val="false"/>
                <w:bCs w:val="false"/>
                <w:sz w:val="19"/>
                <w:szCs w:val="19"/>
                <w:rtl/>
              </w:rPr>
              <w:t xml:space="preserve">b. تأكيد الامتثال للمواصفات الفنية الدنيا.</w:t>
            </w:r>
          </w:p>
          <w:p>
            <w:pPr>
              <w:bidi/>
              <w:spacing w:after="20" w:line="264"/>
              <w:jc w:val="start"/>
            </w:pPr>
            <w:r>
              <w:rPr>
                <w:rFonts w:ascii="Arial" w:cs="Arial" w:eastAsia="Arial" w:hAnsi="Arial"/>
                <w:b w:val="false"/>
                <w:bCs w:val="false"/>
                <w:sz w:val="19"/>
                <w:szCs w:val="19"/>
                <w:rtl/>
              </w:rPr>
              <w:t xml:space="preserve">c. تحديد المصنّع والماركة والموديل المقترح لكل بند رئيسي.</w:t>
            </w:r>
          </w:p>
          <w:p>
            <w:pPr>
              <w:bidi/>
              <w:spacing w:after="20" w:line="264"/>
              <w:jc w:val="start"/>
            </w:pPr>
            <w:r>
              <w:rPr>
                <w:rFonts w:ascii="Arial" w:cs="Arial" w:eastAsia="Arial" w:hAnsi="Arial"/>
                <w:b w:val="false"/>
                <w:bCs w:val="false"/>
                <w:sz w:val="19"/>
                <w:szCs w:val="19"/>
                <w:rtl/>
              </w:rPr>
              <w:t xml:space="preserve">d. تحديد بلد المنشأ والمصدر.</w:t>
            </w:r>
          </w:p>
          <w:p>
            <w:pPr>
              <w:bidi/>
              <w:spacing w:after="20" w:line="264"/>
              <w:jc w:val="start"/>
            </w:pPr>
            <w:r>
              <w:rPr>
                <w:rFonts w:ascii="Arial" w:cs="Arial" w:eastAsia="Arial" w:hAnsi="Arial"/>
                <w:b w:val="false"/>
                <w:bCs w:val="false"/>
                <w:sz w:val="19"/>
                <w:szCs w:val="19"/>
                <w:rtl/>
              </w:rPr>
              <w:t xml:space="preserve">e. تحديد أي انحراف أو استبدال أو إضافة أو تخفيض عن جدول الكميات المرجعي.</w:t>
            </w:r>
          </w:p>
          <w:p>
            <w:pPr>
              <w:bidi/>
              <w:spacing w:after="20" w:line="264"/>
              <w:jc w:val="start"/>
            </w:pPr>
            <w:r>
              <w:rPr>
                <w:rFonts w:ascii="Arial" w:cs="Arial" w:eastAsia="Arial" w:hAnsi="Arial"/>
                <w:b w:val="false"/>
                <w:bCs w:val="false"/>
                <w:sz w:val="19"/>
                <w:szCs w:val="19"/>
                <w:rtl/>
              </w:rPr>
              <w:t xml:space="preserve">f. تقديم مبرر فني لأي انحراف مقترح.</w:t>
            </w:r>
          </w:p>
          <w:p>
            <w:pPr>
              <w:bidi/>
              <w:spacing w:after="20" w:line="264"/>
              <w:jc w:val="start"/>
            </w:pPr>
            <w:r>
              <w:rPr>
                <w:rFonts w:ascii="Arial" w:cs="Arial" w:eastAsia="Arial" w:hAnsi="Arial"/>
                <w:b w:val="false"/>
                <w:bCs w:val="false"/>
                <w:sz w:val="19"/>
                <w:szCs w:val="19"/>
                <w:rtl/>
              </w:rPr>
              <w:t xml:space="preserve">g. سعر الوحدة والسعر الإجمالي الممتد لكل بند.</w:t>
            </w:r>
          </w:p>
          <w:p>
            <w:pPr>
              <w:bidi/>
              <w:spacing w:after="20" w:line="264"/>
              <w:jc w:val="start"/>
            </w:pPr>
            <w:r>
              <w:rPr>
                <w:rFonts w:ascii="Arial" w:cs="Arial" w:eastAsia="Arial" w:hAnsi="Arial"/>
                <w:b w:val="false"/>
                <w:bCs w:val="false"/>
                <w:sz w:val="19"/>
                <w:szCs w:val="19"/>
                <w:rtl/>
              </w:rPr>
              <w:t xml:space="preserve">h. ميزانية موجزة مرتبطة بحدود الميزانية المعتمدة.</w:t>
            </w:r>
          </w:p>
          <w:p>
            <w:pPr>
              <w:bidi/>
              <w:spacing w:after="20" w:line="264"/>
              <w:jc w:val="start"/>
            </w:pPr>
            <w:r>
              <w:rPr>
                <w:rFonts w:ascii="Arial" w:cs="Arial" w:eastAsia="Arial" w:hAnsi="Arial"/>
                <w:b w:val="false"/>
                <w:bCs w:val="false"/>
                <w:sz w:val="19"/>
                <w:szCs w:val="19"/>
                <w:rtl/>
              </w:rPr>
              <w:t xml:space="preserve">i. حدود الميزانية المعتمدة هي </w:t>
            </w:r>
            <w:r>
              <w:rPr>
                <w:rFonts w:ascii="Arial" w:cs="Arial" w:eastAsia="Arial" w:hAnsi="Arial"/>
                <w:b/>
                <w:bCs/>
                <w:sz w:val="19"/>
                <w:szCs w:val="19"/>
                <w:rtl/>
              </w:rPr>
              <w:t xml:space="preserve">سقف ثابت لا يجوز تجاوزه (firm not-to-exceed ceiling)</w:t>
            </w:r>
            <w:r>
              <w:rPr>
                <w:rFonts w:ascii="Arial" w:cs="Arial" w:eastAsia="Arial" w:hAnsi="Arial"/>
                <w:b w:val="false"/>
                <w:bCs w:val="false"/>
                <w:sz w:val="19"/>
                <w:szCs w:val="19"/>
                <w:rtl/>
              </w:rPr>
              <w:t xml:space="preserve"> مذكور في الصفحة 1. وأي عرض تتجاوز تكلفته الإجمالية المقترحة حدود الميزانية المعتمدة سيُعد غير مستجيب (non-responsive) ويُرفض، بغض النظر عن جدارته الفنية.</w:t>
            </w:r>
          </w:p>
          <w:p>
            <w:pPr>
              <w:bidi/>
              <w:spacing w:after="20" w:line="264"/>
              <w:jc w:val="start"/>
            </w:pPr>
            <w:r>
              <w:rPr>
                <w:rFonts w:ascii="Arial" w:cs="Arial" w:eastAsia="Arial" w:hAnsi="Arial"/>
                <w:b w:val="false"/>
                <w:bCs w:val="false"/>
                <w:sz w:val="19"/>
                <w:szCs w:val="19"/>
                <w:rtl/>
              </w:rPr>
              <w:t xml:space="preserve">j. تحديد أي افتراضات أو استثناءات أو بنود اختيارية أو احتياطيات (contingencies) تؤثر على الميزانية المقدَّرة.</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عرض المقترح والتوضيحات (Proposal Presentation and Clarifications)</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عرض الحل الفني المقترح على Creative والوزارة عند الطلب، والرد على الأسئلة التوضيحية أو الملاحظات الفنية المثارة أثناء عملية التقييم.</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عرض تقديمي فني للحل المقترح، عند الطلب.</w:t>
            </w:r>
          </w:p>
          <w:p>
            <w:pPr>
              <w:bidi/>
              <w:spacing w:after="20" w:line="264"/>
              <w:jc w:val="start"/>
            </w:pPr>
            <w:r>
              <w:rPr>
                <w:rFonts w:ascii="Arial" w:cs="Arial" w:eastAsia="Arial" w:hAnsi="Arial"/>
                <w:b w:val="false"/>
                <w:bCs w:val="false"/>
                <w:sz w:val="19"/>
                <w:szCs w:val="19"/>
                <w:rtl/>
              </w:rPr>
              <w:t xml:space="preserve">b. ردود خطية على الأسئلة التوضيحية، عند الطلب.</w:t>
            </w:r>
          </w:p>
          <w:p>
            <w:pPr>
              <w:bidi/>
              <w:spacing w:after="20" w:line="264"/>
              <w:jc w:val="start"/>
            </w:pPr>
            <w:r>
              <w:rPr>
                <w:rFonts w:ascii="Arial" w:cs="Arial" w:eastAsia="Arial" w:hAnsi="Arial"/>
                <w:b w:val="false"/>
                <w:bCs w:val="false"/>
                <w:sz w:val="19"/>
                <w:szCs w:val="19"/>
                <w:rtl/>
              </w:rPr>
              <w:t xml:space="preserve">c. وثائق عرض منقّحة، عند طلب المراجعات أثناء عملية التقييم.</w:t>
            </w:r>
          </w:p>
        </w:tc>
      </w:tr>
    </w:tbl>
    <w:p>
      <w:pPr>
        <w:pStyle w:val="Heading3"/>
        <w:keepNext/>
        <w:bidi/>
        <w:spacing w:after="80" w:before="160"/>
        <w:jc w:val="start"/>
      </w:pPr>
      <w:r>
        <w:rPr>
          <w:rFonts w:ascii="Arial" w:cs="Arial" w:eastAsia="Arial" w:hAnsi="Arial"/>
          <w:b/>
          <w:bCs/>
          <w:color w:val="404040"/>
          <w:sz w:val="23"/>
          <w:szCs w:val="23"/>
          <w:rtl/>
        </w:rPr>
        <w:t xml:space="preserve">6.2 مخرجات العقد المقترحة (بعد إصدار العقد)</w:t>
      </w:r>
    </w:p>
    <w:p>
      <w:pPr>
        <w:bidi/>
        <w:spacing w:after="100" w:before="0" w:line="300"/>
        <w:jc w:val="start"/>
      </w:pPr>
      <w:r>
        <w:rPr>
          <w:rFonts w:ascii="Arial" w:cs="Arial" w:eastAsia="Arial" w:hAnsi="Arial"/>
          <w:sz w:val="22"/>
          <w:szCs w:val="22"/>
          <w:rtl/>
        </w:rPr>
        <w:t xml:space="preserve">بعد تقييم مقدّم العرض الناجح واختياره، ومع مراعاة الموافقات المطلوبة والتدقيق وإصدار العقد، سيكون مقدّم العرض المختار مسؤولًا عن أنشطة التنفيذ والمخرجات الموضحة أدناه.</w:t>
      </w:r>
    </w:p>
    <w:p>
      <w:pPr>
        <w:bidi/>
        <w:spacing w:after="100" w:before="0" w:line="300"/>
        <w:jc w:val="start"/>
      </w:pPr>
      <w:r>
        <w:rPr>
          <w:rFonts w:ascii="Arial" w:cs="Arial" w:eastAsia="Arial" w:hAnsi="Arial"/>
          <w:sz w:val="22"/>
          <w:szCs w:val="22"/>
          <w:rtl/>
        </w:rPr>
        <w:t xml:space="preserve">تمثّل القائمة التالية مخرجات العقد المقترحة بعد مرحلة الـ RFP. وسيتم تحديد المخرجات النهائية والمعالم والجداول الزمنية وشروط الدفع والاتفاق عليها في العقد اللاحق وإنهاؤها بالتنسيق مع Creative وMOLAE.</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المهمة (Task)</w:t>
            </w:r>
          </w:p>
        </w:tc>
        <w:tc>
          <w:tcPr>
            <w:tcW w:type="dxa" w:w="682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مخرجات العقد المقترحة</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2.1 مراجعة التصميم وإنهاؤه (Design Review and Finalization)</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العمل مع الفرق الفنية والمشتريات في Creative/MOLAE لإدراج الملاحظات المتفق عليها وإنهاء حزمة التصميم وجدول الكميات. وقد يُطلب من مقدّم العرض الناجح مراجعة عرضه وتحسينه لضمان أنه يعكس SoW المطلوب بالكامل. وحيثما أدت هذه المراجعات إلى تكاليف إضافية أو مخفّضة، يجوز تعديل الميزانية وفقًا لذلك بعد مراجعة Creative واعتمادها.</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حزمة التصميم الفني النهائية.</w:t>
            </w:r>
          </w:p>
          <w:p>
            <w:pPr>
              <w:bidi/>
              <w:spacing w:after="20" w:line="264"/>
              <w:jc w:val="start"/>
            </w:pPr>
            <w:r>
              <w:rPr>
                <w:rFonts w:ascii="Arial" w:cs="Arial" w:eastAsia="Arial" w:hAnsi="Arial"/>
                <w:b w:val="false"/>
                <w:bCs w:val="false"/>
                <w:sz w:val="19"/>
                <w:szCs w:val="19"/>
                <w:rtl/>
              </w:rPr>
              <w:t xml:space="preserve">b. المواصفات النهائية للمعدات والبنية التحتية.</w:t>
            </w:r>
          </w:p>
          <w:p>
            <w:pPr>
              <w:bidi/>
              <w:spacing w:after="20" w:line="264"/>
              <w:jc w:val="start"/>
            </w:pPr>
            <w:r>
              <w:rPr>
                <w:rFonts w:ascii="Arial" w:cs="Arial" w:eastAsia="Arial" w:hAnsi="Arial"/>
                <w:b w:val="false"/>
                <w:bCs w:val="false"/>
                <w:sz w:val="19"/>
                <w:szCs w:val="19"/>
                <w:rtl/>
              </w:rPr>
              <w:t xml:space="preserve">c. جدول الكميات (BoQ) النهائي.</w:t>
            </w:r>
          </w:p>
          <w:p>
            <w:pPr>
              <w:bidi/>
              <w:spacing w:after="20" w:line="264"/>
              <w:jc w:val="start"/>
            </w:pPr>
            <w:r>
              <w:rPr>
                <w:rFonts w:ascii="Arial" w:cs="Arial" w:eastAsia="Arial" w:hAnsi="Arial"/>
                <w:b w:val="false"/>
                <w:bCs w:val="false"/>
                <w:sz w:val="19"/>
                <w:szCs w:val="19"/>
                <w:rtl/>
              </w:rPr>
              <w:t xml:space="preserve">d. منهجية التنفيذ والجدول الزمني النهائيان.</w:t>
            </w:r>
          </w:p>
          <w:p>
            <w:pPr>
              <w:bidi/>
              <w:spacing w:after="20" w:line="264"/>
              <w:jc w:val="start"/>
            </w:pPr>
            <w:r>
              <w:rPr>
                <w:rFonts w:ascii="Arial" w:cs="Arial" w:eastAsia="Arial" w:hAnsi="Arial"/>
                <w:b w:val="false"/>
                <w:bCs w:val="false"/>
                <w:sz w:val="19"/>
                <w:szCs w:val="19"/>
                <w:rtl/>
              </w:rPr>
              <w:t xml:space="preserve">e. الميزانية/عرض التكلفة المحدَّث، عند الاقتضاء.</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2.2 التصاريح والموافقات المطلوبة (Required Clearances and Approvals)</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المضي في عمليات MOLAE وRAM Vetting المطلوبة والحصول على التصاريح والموافقات اللازمة قبل التنفيذ.</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الوثائق المطلوبة لمراجعة MOLAE واعتمادها.</w:t>
            </w:r>
          </w:p>
          <w:p>
            <w:pPr>
              <w:bidi/>
              <w:spacing w:after="20" w:line="264"/>
              <w:jc w:val="start"/>
            </w:pPr>
            <w:r>
              <w:rPr>
                <w:rFonts w:ascii="Arial" w:cs="Arial" w:eastAsia="Arial" w:hAnsi="Arial"/>
                <w:b w:val="false"/>
                <w:bCs w:val="false"/>
                <w:sz w:val="19"/>
                <w:szCs w:val="19"/>
                <w:rtl/>
              </w:rPr>
              <w:t xml:space="preserve">b. الوثائق المطلوبة لـ RAM Vetting.</w:t>
            </w:r>
          </w:p>
          <w:p>
            <w:pPr>
              <w:bidi/>
              <w:spacing w:after="20" w:line="264"/>
              <w:jc w:val="start"/>
            </w:pPr>
            <w:r>
              <w:rPr>
                <w:rFonts w:ascii="Arial" w:cs="Arial" w:eastAsia="Arial" w:hAnsi="Arial"/>
                <w:b w:val="false"/>
                <w:bCs w:val="false"/>
                <w:sz w:val="19"/>
                <w:szCs w:val="19"/>
                <w:rtl/>
              </w:rPr>
              <w:t xml:space="preserve">c. حزمة فنية/تقديمية (submittal) محدَّثة تتضمن ملاحظات التصريح.</w:t>
            </w:r>
          </w:p>
          <w:p>
            <w:pPr>
              <w:bidi/>
              <w:spacing w:after="20" w:line="264"/>
              <w:jc w:val="start"/>
            </w:pPr>
            <w:r>
              <w:rPr>
                <w:rFonts w:ascii="Arial" w:cs="Arial" w:eastAsia="Arial" w:hAnsi="Arial"/>
                <w:b w:val="false"/>
                <w:bCs w:val="false"/>
                <w:sz w:val="19"/>
                <w:szCs w:val="19"/>
                <w:rtl/>
              </w:rPr>
              <w:t xml:space="preserve">d. دليل على الموافقات/التصاريح المطلوبة قبل التنفيذ.</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2.3 التوريد والتركيب والتهيئة والتشغيل التجريبي (Supply, Installation, Configuration, and Commissioning)</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بعد التصريح والإذن بالمباشرة، توريد الحل المعتمد وتركيبه وتهيئته وتشغيله تجريبيًا واختباره وفق التصميم النهائي وجدول الكميات المعتمد.</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تسليم المعدات والمواد المعتمدة إلى الموقع/المواقع المحددة.</w:t>
            </w:r>
          </w:p>
          <w:p>
            <w:pPr>
              <w:bidi/>
              <w:spacing w:after="20" w:line="264"/>
              <w:jc w:val="start"/>
            </w:pPr>
            <w:r>
              <w:rPr>
                <w:rFonts w:ascii="Arial" w:cs="Arial" w:eastAsia="Arial" w:hAnsi="Arial"/>
                <w:b w:val="false"/>
                <w:bCs w:val="false"/>
                <w:sz w:val="19"/>
                <w:szCs w:val="19"/>
                <w:rtl/>
              </w:rPr>
              <w:t xml:space="preserve">b. استكمال التركيب والتهيئة وفق التصميم المعتمد.</w:t>
            </w:r>
          </w:p>
          <w:p>
            <w:pPr>
              <w:bidi/>
              <w:spacing w:after="20" w:line="264"/>
              <w:jc w:val="start"/>
            </w:pPr>
            <w:r>
              <w:rPr>
                <w:rFonts w:ascii="Arial" w:cs="Arial" w:eastAsia="Arial" w:hAnsi="Arial"/>
                <w:b w:val="false"/>
                <w:bCs w:val="false"/>
                <w:sz w:val="19"/>
                <w:szCs w:val="19"/>
                <w:rtl/>
              </w:rPr>
              <w:t xml:space="preserve">c. تقارير التركيب والتشغيل التجريبي.</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2.4 الاختبار وقبول الموقع (Testing and Site Acceptance)</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إثبات الامتثال للمواصفات الفنية المعتمدة ومعايير قبول الموقع الموضوعية (SAC). وسيتم التحقق من الحل المُسلَّم بندًا ببند مقابل جدول الكميات المعتمد قبل القبول النهائي.</w:t>
            </w:r>
          </w:p>
          <w:p>
            <w:pPr>
              <w:bidi/>
              <w:spacing w:after="20" w:line="264"/>
              <w:jc w:val="start"/>
            </w:pPr>
          </w:p>
          <w:p>
            <w:pPr>
              <w:bidi/>
              <w:spacing w:after="20" w:line="264"/>
              <w:jc w:val="start"/>
            </w:pPr>
            <w:r>
              <w:rPr>
                <w:rFonts w:ascii="Arial" w:cs="Arial" w:eastAsia="Arial" w:hAnsi="Arial"/>
                <w:b w:val="false"/>
                <w:bCs w:val="false"/>
                <w:sz w:val="19"/>
                <w:szCs w:val="19"/>
                <w:rtl/>
              </w:rPr>
              <w:t xml:space="preserve">a. وثائق اختبار الموقع، حسب الاقتضاء.</w:t>
            </w:r>
          </w:p>
          <w:p>
            <w:pPr>
              <w:bidi/>
              <w:spacing w:after="20" w:line="264"/>
              <w:jc w:val="start"/>
            </w:pPr>
            <w:r>
              <w:rPr>
                <w:rFonts w:ascii="Arial" w:cs="Arial" w:eastAsia="Arial" w:hAnsi="Arial"/>
                <w:b w:val="false"/>
                <w:bCs w:val="false"/>
                <w:sz w:val="19"/>
                <w:szCs w:val="19"/>
                <w:rtl/>
              </w:rPr>
              <w:t xml:space="preserve">b. إجراءات ونتائج اختبار قبول الموقع (Site Acceptance Test – SAT).</w:t>
            </w:r>
          </w:p>
          <w:p>
            <w:pPr>
              <w:bidi/>
              <w:spacing w:after="20" w:line="264"/>
              <w:jc w:val="start"/>
            </w:pPr>
            <w:r>
              <w:rPr>
                <w:rFonts w:ascii="Arial" w:cs="Arial" w:eastAsia="Arial" w:hAnsi="Arial"/>
                <w:b w:val="false"/>
                <w:bCs w:val="false"/>
                <w:sz w:val="19"/>
                <w:szCs w:val="19"/>
                <w:rtl/>
              </w:rPr>
              <w:t xml:space="preserve">c. التحقق من جدول الكميات بندًا ببند (line-by-line).</w:t>
            </w:r>
          </w:p>
          <w:p>
            <w:pPr>
              <w:bidi/>
              <w:spacing w:after="20" w:line="264"/>
              <w:jc w:val="start"/>
            </w:pPr>
            <w:r>
              <w:rPr>
                <w:rFonts w:ascii="Arial" w:cs="Arial" w:eastAsia="Arial" w:hAnsi="Arial"/>
                <w:b w:val="false"/>
                <w:bCs w:val="false"/>
                <w:sz w:val="19"/>
                <w:szCs w:val="19"/>
                <w:rtl/>
              </w:rPr>
              <w:t xml:space="preserve">d. شهادة قبول الموقع النهائية (Final Site Acceptance Certificate)، وتخضع لقبول Creative/MOLAE.</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2.5 التوثيق والتدريب والتسليم (Documentation, Training, and Handover)</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الوثائق الفنية والتشغيلية المطلوبة، وتدريب كوادر الوزارة المعيّنين، وتسليم النظام المكتمل رسميًا.</w:t>
            </w:r>
          </w:p>
          <w:p>
            <w:pPr>
              <w:bidi/>
              <w:spacing w:after="20" w:line="264"/>
              <w:jc w:val="start"/>
            </w:pPr>
          </w:p>
          <w:p>
            <w:pPr>
              <w:bidi/>
              <w:spacing w:after="20" w:line="264"/>
              <w:jc w:val="start"/>
            </w:pPr>
            <w:r>
              <w:rPr>
                <w:rFonts w:ascii="Arial" w:cs="Arial" w:eastAsia="Arial" w:hAnsi="Arial"/>
                <w:b w:val="false"/>
                <w:bCs w:val="false"/>
                <w:sz w:val="19"/>
                <w:szCs w:val="19"/>
                <w:rtl/>
              </w:rPr>
              <w:t xml:space="preserve">a. أدلة إدارة النظام والتهيئة.</w:t>
            </w:r>
          </w:p>
          <w:p>
            <w:pPr>
              <w:bidi/>
              <w:spacing w:after="20" w:line="264"/>
              <w:jc w:val="start"/>
            </w:pPr>
            <w:r>
              <w:rPr>
                <w:rFonts w:ascii="Arial" w:cs="Arial" w:eastAsia="Arial" w:hAnsi="Arial"/>
                <w:b w:val="false"/>
                <w:bCs w:val="false"/>
                <w:sz w:val="19"/>
                <w:szCs w:val="19"/>
                <w:rtl/>
              </w:rPr>
              <w:t xml:space="preserve">b. مواد التدريب وسجلات إتمام التدريب.</w:t>
            </w:r>
          </w:p>
          <w:p>
            <w:pPr>
              <w:bidi/>
              <w:spacing w:after="20" w:line="264"/>
              <w:jc w:val="start"/>
            </w:pPr>
            <w:r>
              <w:rPr>
                <w:rFonts w:ascii="Arial" w:cs="Arial" w:eastAsia="Arial" w:hAnsi="Arial"/>
                <w:b w:val="false"/>
                <w:bCs w:val="false"/>
                <w:sz w:val="19"/>
                <w:szCs w:val="19"/>
                <w:rtl/>
              </w:rPr>
              <w:t xml:space="preserve">c. سجل الأصول النهائي (asset register).</w:t>
            </w:r>
          </w:p>
          <w:p>
            <w:pPr>
              <w:bidi/>
              <w:spacing w:after="20" w:line="264"/>
              <w:jc w:val="start"/>
            </w:pPr>
            <w:r>
              <w:rPr>
                <w:rFonts w:ascii="Arial" w:cs="Arial" w:eastAsia="Arial" w:hAnsi="Arial"/>
                <w:b w:val="false"/>
                <w:bCs w:val="false"/>
                <w:sz w:val="19"/>
                <w:szCs w:val="19"/>
                <w:rtl/>
              </w:rPr>
              <w:t xml:space="preserve">d. وثائق الضمان والدعم.</w:t>
            </w:r>
          </w:p>
          <w:p>
            <w:pPr>
              <w:bidi/>
              <w:spacing w:after="20" w:line="264"/>
              <w:jc w:val="start"/>
            </w:pPr>
            <w:r>
              <w:rPr>
                <w:rFonts w:ascii="Arial" w:cs="Arial" w:eastAsia="Arial" w:hAnsi="Arial"/>
                <w:b w:val="false"/>
                <w:bCs w:val="false"/>
                <w:sz w:val="19"/>
                <w:szCs w:val="19"/>
                <w:rtl/>
              </w:rPr>
              <w:t xml:space="preserve">e. وثائق مقدّم العرض والمصنّع، عند الاقتضاء.</w:t>
            </w:r>
          </w:p>
        </w:tc>
      </w:tr>
      <w:tr>
        <w:trPr>
          <w:cantSplit/>
        </w:trPr>
        <w:tc>
          <w:tcPr>
            <w:tcW w:type="dxa" w:w="29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2.6 التسليم النهائي والاستدامة (Final Handover and Sustainability)</w:t>
            </w:r>
          </w:p>
        </w:tc>
        <w:tc>
          <w:tcPr>
            <w:tcW w:type="dxa" w:w="682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تسليم النظام المكتمل والمقبول رسميًا وتقديم المعلومات اللازمة لاستمرار تشغيله وصيانته.</w:t>
            </w:r>
          </w:p>
          <w:p>
            <w:pPr>
              <w:bidi/>
              <w:spacing w:after="20" w:line="264"/>
              <w:jc w:val="start"/>
            </w:pPr>
          </w:p>
          <w:p>
            <w:pPr>
              <w:bidi/>
              <w:spacing w:after="20" w:line="264"/>
              <w:jc w:val="start"/>
            </w:pPr>
            <w:r>
              <w:rPr>
                <w:rFonts w:ascii="Arial" w:cs="Arial" w:eastAsia="Arial" w:hAnsi="Arial"/>
                <w:b w:val="false"/>
                <w:bCs w:val="false"/>
                <w:sz w:val="19"/>
                <w:szCs w:val="19"/>
                <w:rtl/>
              </w:rPr>
              <w:t xml:space="preserve">a. وثائق التهيئة النهائية.</w:t>
            </w:r>
          </w:p>
          <w:p>
            <w:pPr>
              <w:bidi/>
              <w:spacing w:after="20" w:line="264"/>
              <w:jc w:val="start"/>
            </w:pPr>
            <w:r>
              <w:rPr>
                <w:rFonts w:ascii="Arial" w:cs="Arial" w:eastAsia="Arial" w:hAnsi="Arial"/>
                <w:b w:val="false"/>
                <w:bCs w:val="false"/>
                <w:sz w:val="19"/>
                <w:szCs w:val="19"/>
                <w:rtl/>
              </w:rPr>
              <w:t xml:space="preserve">b. سجل الأصول وجرد المعدات النهائيان.</w:t>
            </w:r>
          </w:p>
          <w:p>
            <w:pPr>
              <w:bidi/>
              <w:spacing w:after="20" w:line="264"/>
              <w:jc w:val="start"/>
            </w:pPr>
            <w:r>
              <w:rPr>
                <w:rFonts w:ascii="Arial" w:cs="Arial" w:eastAsia="Arial" w:hAnsi="Arial"/>
                <w:b w:val="false"/>
                <w:bCs w:val="false"/>
                <w:sz w:val="19"/>
                <w:szCs w:val="19"/>
                <w:rtl/>
              </w:rPr>
              <w:t xml:space="preserve">c. خطة التشغيل والصيانة (Operations and Maintenance (O&amp;M) Plan).</w:t>
            </w:r>
          </w:p>
          <w:p>
            <w:pPr>
              <w:bidi/>
              <w:spacing w:after="20" w:line="264"/>
              <w:jc w:val="start"/>
            </w:pPr>
            <w:r>
              <w:rPr>
                <w:rFonts w:ascii="Arial" w:cs="Arial" w:eastAsia="Arial" w:hAnsi="Arial"/>
                <w:b w:val="false"/>
                <w:bCs w:val="false"/>
                <w:sz w:val="19"/>
                <w:szCs w:val="19"/>
                <w:rtl/>
              </w:rPr>
              <w:t xml:space="preserve">d. ترتيبات الدعم الفني الموصى بها.</w:t>
            </w:r>
          </w:p>
          <w:p>
            <w:pPr>
              <w:bidi/>
              <w:spacing w:after="20" w:line="264"/>
              <w:jc w:val="start"/>
            </w:pPr>
            <w:r>
              <w:rPr>
                <w:rFonts w:ascii="Arial" w:cs="Arial" w:eastAsia="Arial" w:hAnsi="Arial"/>
                <w:b w:val="false"/>
                <w:bCs w:val="false"/>
                <w:sz w:val="19"/>
                <w:szCs w:val="19"/>
                <w:rtl/>
              </w:rPr>
              <w:t xml:space="preserve">e. تقرير التسليم النهائي ووثائق القبول.</w:t>
            </w:r>
          </w:p>
        </w:tc>
      </w:tr>
    </w:tbl>
    <w:p>
      <w:pPr>
        <w:spacing w:after="120"/>
      </w:pPr>
    </w:p>
    <w:p>
      <w:pPr>
        <w:bidi/>
        <w:spacing w:after="100" w:before="0" w:line="300"/>
        <w:jc w:val="start"/>
      </w:pPr>
      <w:r>
        <w:rPr>
          <w:rFonts w:ascii="Arial" w:cs="Arial" w:eastAsia="Arial" w:hAnsi="Arial"/>
          <w:b/>
          <w:bCs/>
          <w:sz w:val="22"/>
          <w:szCs w:val="22"/>
          <w:rtl/>
        </w:rPr>
        <w:t xml:space="preserve">ملاحظة تعاقدية مهمة (Important Contracting Note):</w:t>
      </w:r>
      <w:r>
        <w:rPr>
          <w:rFonts w:ascii="Arial" w:cs="Arial" w:eastAsia="Arial" w:hAnsi="Arial"/>
          <w:sz w:val="22"/>
          <w:szCs w:val="22"/>
          <w:rtl/>
        </w:rPr>
        <w:t xml:space="preserve"> مخرجات العقد المذكورة أعلاه استرشادية في مرحلة الـ RFP، وتهدف إلى تحديد النطاق والمخرجات المتوقعة من مقدّم العرض الناجح. وسيتم تنقيح المخرجات النهائية ومواصفاتها التفصيلية وإدراجها رسميًا في الاتفاقية اللاحقة، بما في ذلك المعالم والجداول الزمنية للتسليم ومعايير القبول والمسؤوليات وشروط الدفع المعمول بها.</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II: تعليمات مقدّمي العروض (Instructions to Offerors)</w:t>
      </w:r>
    </w:p>
    <w:p>
      <w:pPr>
        <w:pStyle w:val="Heading2"/>
        <w:keepNext/>
        <w:bidi/>
        <w:spacing w:after="120" w:before="240"/>
        <w:jc w:val="start"/>
      </w:pPr>
      <w:r>
        <w:rPr>
          <w:rFonts w:ascii="Arial" w:cs="Arial" w:eastAsia="Arial" w:hAnsi="Arial"/>
          <w:b/>
          <w:bCs/>
          <w:color w:val="2E5597"/>
          <w:sz w:val="26"/>
          <w:szCs w:val="26"/>
          <w:rtl/>
        </w:rPr>
        <w:t xml:space="preserve">A. تعليمات عامة (General Instructions)</w:t>
      </w:r>
    </w:p>
    <w:p>
      <w:pPr>
        <w:bidi/>
        <w:spacing w:after="100" w:before="0" w:line="300"/>
        <w:jc w:val="start"/>
      </w:pPr>
      <w:r>
        <w:rPr>
          <w:rFonts w:ascii="Arial" w:cs="Arial" w:eastAsia="Arial" w:hAnsi="Arial"/>
          <w:sz w:val="22"/>
          <w:szCs w:val="22"/>
          <w:rtl/>
        </w:rPr>
        <w:t xml:space="preserve">لا تشكّل تعليمات مقدّمي العروض هذه جزءًا من العرض أو الاتفاقية، وهي مخصصة فقط لمساعدة مقدّمي العروض في إعداد عروضهم. يرجى قراءتها واتباعها بعناية.</w:t>
      </w:r>
    </w:p>
    <w:p>
      <w:pPr>
        <w:pStyle w:val="ListParagraph"/>
        <w:numPr>
          <w:ilvl w:val="0"/>
          <w:numId w:val="4"/>
        </w:numPr>
        <w:bidi/>
        <w:spacing w:after="60" w:line="290"/>
        <w:jc w:val="start"/>
      </w:pPr>
      <w:r>
        <w:rPr>
          <w:rFonts w:ascii="Arial" w:cs="Arial" w:eastAsia="Arial" w:hAnsi="Arial"/>
          <w:sz w:val="22"/>
          <w:szCs w:val="22"/>
          <w:rtl/>
        </w:rPr>
        <w:t xml:space="preserve">يجب أن يُكتب العرض وجميع الوثائق المتعلقة به باللغة الإنكليزية ما لم يُسمح صراحةً بغير ذلك. كما يجب أن تكون العروض بتباعد أسطر مفرد (single-spaced) مع عناوين أقسام واضحة، وأن تُقدَّم بالترتيب المحدد في الملحق III – معايير التقييم.</w:t>
      </w:r>
    </w:p>
    <w:p>
      <w:pPr>
        <w:pStyle w:val="ListParagraph"/>
        <w:numPr>
          <w:ilvl w:val="0"/>
          <w:numId w:val="4"/>
        </w:numPr>
        <w:bidi/>
        <w:spacing w:after="60" w:line="290"/>
        <w:jc w:val="start"/>
      </w:pPr>
      <w:r>
        <w:rPr>
          <w:rFonts w:ascii="Arial" w:cs="Arial" w:eastAsia="Arial" w:hAnsi="Arial"/>
          <w:sz w:val="22"/>
          <w:szCs w:val="22"/>
          <w:rtl/>
        </w:rPr>
        <w:t xml:space="preserve">يجب أن تتضمن العروض عمل مقدّم العرض نفسه فقط. ولا يجوز نسخ أي نص من مصادر خارج شركتكم ما لم تُذكر تلك المصادر وتُنسب بشكل مناسب. وإذا قررت Creative أن أي جزء من العرض منتحَل من مصادر خارجية، فسيُستبعد مقدّم العرض تلقائيًا.</w:t>
      </w:r>
    </w:p>
    <w:p>
      <w:pPr>
        <w:pStyle w:val="ListParagraph"/>
        <w:numPr>
          <w:ilvl w:val="0"/>
          <w:numId w:val="4"/>
        </w:numPr>
        <w:bidi/>
        <w:spacing w:after="60" w:line="290"/>
        <w:jc w:val="start"/>
      </w:pPr>
      <w:r>
        <w:rPr>
          <w:rFonts w:ascii="Arial" w:cs="Arial" w:eastAsia="Arial" w:hAnsi="Arial"/>
          <w:sz w:val="22"/>
          <w:szCs w:val="22"/>
          <w:rtl/>
        </w:rPr>
        <w:t xml:space="preserve">يجب أن تُعرض العروض وجميع أرقام التكلفة والأسعار بالدولار الأمريكي (USD). ويجب أن تكون جميع الأسعار شاملة الضرائب والرسوم الجمركية (gross of tax and customs duties).</w:t>
      </w:r>
    </w:p>
    <w:p>
      <w:pPr>
        <w:pStyle w:val="ListParagraph"/>
        <w:numPr>
          <w:ilvl w:val="0"/>
          <w:numId w:val="4"/>
        </w:numPr>
        <w:bidi/>
        <w:spacing w:after="60" w:line="290"/>
        <w:jc w:val="start"/>
      </w:pPr>
      <w:r>
        <w:rPr>
          <w:rFonts w:ascii="Arial" w:cs="Arial" w:eastAsia="Arial" w:hAnsi="Arial"/>
          <w:sz w:val="22"/>
          <w:szCs w:val="22"/>
          <w:rtl/>
        </w:rPr>
        <w:t xml:space="preserve">يجب على مقدّم العرض أن يذكر في عرضه مدة سريان عرضه (validity period). والحد الأدنى لمدة قبول العرض في هذا الـ RFP هو 30 يومًا بعد تاريخ إغلاق الـ RFP. وإذا قدّم مقدّم العرض مدة سريان أقل من 30 يومًا فسيُطلب منه تعديلها. وإذا لم يمدّد مدة السريان فسيُرفض عرضه. وتحتفظ Creative بالحق في عدم إجراء أي ترسية.</w:t>
      </w:r>
    </w:p>
    <w:p>
      <w:pPr>
        <w:pStyle w:val="ListParagraph"/>
        <w:numPr>
          <w:ilvl w:val="0"/>
          <w:numId w:val="4"/>
        </w:numPr>
        <w:bidi/>
        <w:spacing w:after="60" w:line="290"/>
        <w:jc w:val="start"/>
      </w:pPr>
      <w:r>
        <w:rPr>
          <w:rFonts w:ascii="Arial" w:cs="Arial" w:eastAsia="Arial" w:hAnsi="Arial"/>
          <w:sz w:val="22"/>
          <w:szCs w:val="22"/>
          <w:rtl/>
        </w:rPr>
        <w:t xml:space="preserve">يجب فصل العرض الفني عن العرض المالي/التجاري. ولا يجوز أن يشير العرض الفني إلى أي معلومات عن التكلفة أو التسعير في أي موضع، وذلك ليتم التقييم الفني على أساس الجدارة الفنية وحدها.</w:t>
      </w:r>
    </w:p>
    <w:p>
      <w:pPr>
        <w:pStyle w:val="ListParagraph"/>
        <w:numPr>
          <w:ilvl w:val="0"/>
          <w:numId w:val="4"/>
        </w:numPr>
        <w:bidi/>
        <w:spacing w:after="60" w:line="290"/>
        <w:jc w:val="start"/>
      </w:pPr>
      <w:r>
        <w:rPr>
          <w:rFonts w:ascii="Arial" w:cs="Arial" w:eastAsia="Arial" w:hAnsi="Arial"/>
          <w:sz w:val="22"/>
          <w:szCs w:val="22"/>
          <w:rtl/>
        </w:rPr>
        <w:t xml:space="preserve">يجب أن يكون مقدّمو العروض مخوّلين بمزاولة الأعمال في سوريا، وذلك بتقديم نسخة من رخصة عمل سارية (Business License) (إذا كانوا مسجلين كشركة ربحية)، أو ترخيص من الحكومة المضيفة ساري (إذا كانوا مسجلين كمنظمة غير ربحية)، أو ترخيص بلدي (إذا كانوا مسجلين كمقدّم عرض محلي للسلع أو تاجر استيراد وتصدير). ويجب أن تُظهر نسخة التفويض بوضوح رقمًا وختمًا حكوميًا رسميًا وتاريخ الإصدار وتاريخ الانتهاء.</w:t>
      </w:r>
    </w:p>
    <w:p>
      <w:pPr>
        <w:pStyle w:val="ListParagraph"/>
        <w:numPr>
          <w:ilvl w:val="0"/>
          <w:numId w:val="4"/>
        </w:numPr>
        <w:bidi/>
        <w:spacing w:after="60" w:line="290"/>
        <w:jc w:val="start"/>
      </w:pPr>
      <w:r>
        <w:rPr>
          <w:rFonts w:ascii="Arial" w:cs="Arial" w:eastAsia="Arial" w:hAnsi="Arial"/>
          <w:sz w:val="22"/>
          <w:szCs w:val="22"/>
          <w:rtl/>
        </w:rPr>
        <w:t xml:space="preserve">لا تُعوَّض أي تكاليف يتكبدها مقدّمو العروض في إعداد العرض وتقديمه من Creative أو/و MOLAE. وتكون جميع هذه التكاليف على نفقة مقدّم العرض.</w:t>
      </w:r>
    </w:p>
    <w:p>
      <w:pPr>
        <w:pStyle w:val="ListParagraph"/>
        <w:numPr>
          <w:ilvl w:val="0"/>
          <w:numId w:val="4"/>
        </w:numPr>
        <w:bidi/>
        <w:spacing w:after="60" w:line="290"/>
        <w:jc w:val="start"/>
      </w:pPr>
      <w:r>
        <w:rPr>
          <w:rFonts w:ascii="Arial" w:cs="Arial" w:eastAsia="Arial" w:hAnsi="Arial"/>
          <w:b/>
          <w:bCs/>
          <w:sz w:val="22"/>
          <w:szCs w:val="22"/>
          <w:rtl/>
        </w:rPr>
        <w:t xml:space="preserve">تحديد المسؤولية (Responsibility Determination):</w:t>
      </w:r>
      <w:r>
        <w:rPr>
          <w:rFonts w:ascii="Arial" w:cs="Arial" w:eastAsia="Arial" w:hAnsi="Arial"/>
          <w:sz w:val="22"/>
          <w:szCs w:val="22"/>
          <w:rtl/>
        </w:rPr>
        <w:t xml:space="preserve"> لا يُمنح العقد إلا لمقدّمي العروض "المستجيبين" (responsive). ولتمكين Creative من إجراء هذا التحديد، يجب على مقدّم العرض تقديم خطاب تغطية كما هو وارد في الملحق IV.</w:t>
      </w:r>
    </w:p>
    <w:p>
      <w:pPr>
        <w:pStyle w:val="ListParagraph"/>
        <w:numPr>
          <w:ilvl w:val="0"/>
          <w:numId w:val="4"/>
        </w:numPr>
        <w:bidi/>
        <w:spacing w:after="60" w:line="290"/>
        <w:jc w:val="start"/>
      </w:pPr>
      <w:r>
        <w:rPr>
          <w:rFonts w:ascii="Arial" w:cs="Arial" w:eastAsia="Arial" w:hAnsi="Arial"/>
          <w:b/>
          <w:bCs/>
          <w:sz w:val="22"/>
          <w:szCs w:val="22"/>
          <w:rtl/>
        </w:rPr>
        <w:t xml:space="preserve">العروض المتأخرة (Late Offers):</w:t>
      </w:r>
      <w:r>
        <w:rPr>
          <w:rFonts w:ascii="Arial" w:cs="Arial" w:eastAsia="Arial" w:hAnsi="Arial"/>
          <w:sz w:val="22"/>
          <w:szCs w:val="22"/>
          <w:rtl/>
        </w:rPr>
        <w:t xml:space="preserve"> مقدّمو العروض مسؤولون بالكامل عن ضمان استلام عروضهم وفق التعليمات المذكورة هنا. وسيُوصى برفض العرض المتأخر حتى لو كان التأخير ناتجًا عن ظروف خارجة عن إرادة مقدّم العرض. ولا تُنظر العروض المتأخرة إلا وفق تقدير إدارة المشتريات في Creative.</w:t>
      </w:r>
    </w:p>
    <w:p>
      <w:pPr>
        <w:pStyle w:val="ListParagraph"/>
        <w:numPr>
          <w:ilvl w:val="0"/>
          <w:numId w:val="4"/>
        </w:numPr>
        <w:bidi/>
        <w:spacing w:after="60" w:line="290"/>
        <w:jc w:val="start"/>
      </w:pPr>
      <w:r>
        <w:rPr>
          <w:rFonts w:ascii="Arial" w:cs="Arial" w:eastAsia="Arial" w:hAnsi="Arial"/>
          <w:b/>
          <w:bCs/>
          <w:sz w:val="22"/>
          <w:szCs w:val="22"/>
          <w:rtl/>
        </w:rPr>
        <w:t xml:space="preserve">تعديل/سحب العروض:</w:t>
      </w:r>
      <w:r>
        <w:rPr>
          <w:rFonts w:ascii="Arial" w:cs="Arial" w:eastAsia="Arial" w:hAnsi="Arial"/>
          <w:sz w:val="22"/>
          <w:szCs w:val="22"/>
          <w:rtl/>
        </w:rPr>
        <w:t xml:space="preserve"> لمقدّمي العروض الحق في سحب عرضهم أو تعديله أو تصحيحه بعد تسليمه إلى Creative على العنوان المذكور أعلاه، شريطة أن يُقدَّم الطلب قبل تاريخ إغلاق الـ RFP.</w:t>
      </w:r>
    </w:p>
    <w:p>
      <w:pPr>
        <w:pStyle w:val="ListParagraph"/>
        <w:numPr>
          <w:ilvl w:val="0"/>
          <w:numId w:val="4"/>
        </w:numPr>
        <w:bidi/>
        <w:spacing w:after="60" w:line="290"/>
        <w:jc w:val="start"/>
      </w:pPr>
      <w:r>
        <w:rPr>
          <w:rFonts w:ascii="Arial" w:cs="Arial" w:eastAsia="Arial" w:hAnsi="Arial"/>
          <w:b/>
          <w:bCs/>
          <w:sz w:val="22"/>
          <w:szCs w:val="22"/>
          <w:rtl/>
        </w:rPr>
        <w:t xml:space="preserve">التصرف بالعروض (Disposition of Proposals):</w:t>
      </w:r>
      <w:r>
        <w:rPr>
          <w:rFonts w:ascii="Arial" w:cs="Arial" w:eastAsia="Arial" w:hAnsi="Arial"/>
          <w:sz w:val="22"/>
          <w:szCs w:val="22"/>
          <w:rtl/>
        </w:rPr>
        <w:t xml:space="preserve"> لن تُعاد العروض المقدَّمة استجابةً لهذا الـ RFP. وسيُبذل جهد معقول لضمان سرية العروض الواردة من جميع مقدّمي العروض. لا يطلب هذا الـ RFP معلومات ذات طبيعة ملكية عالية، ولكن إذا تضمن عرض مقدّم العرض مثل هذه المعلومات، فعليه إبلاغ Creative ووضع علامة "سري وملكية خاصة" (Confidential and Proprietary) على المواد ليتسنى التعامل مع هذه الأقسام بشكل مناسب.</w:t>
      </w:r>
    </w:p>
    <w:p>
      <w:pPr>
        <w:pStyle w:val="ListParagraph"/>
        <w:numPr>
          <w:ilvl w:val="0"/>
          <w:numId w:val="4"/>
        </w:numPr>
        <w:bidi/>
        <w:spacing w:after="60" w:line="290"/>
        <w:jc w:val="start"/>
      </w:pPr>
      <w:r>
        <w:rPr>
          <w:rFonts w:ascii="Arial" w:cs="Arial" w:eastAsia="Arial" w:hAnsi="Arial"/>
          <w:b/>
          <w:bCs/>
          <w:sz w:val="22"/>
          <w:szCs w:val="22"/>
          <w:rtl/>
        </w:rPr>
        <w:t xml:space="preserve">التوضيحات وتعديلات الـ RFP:</w:t>
      </w:r>
      <w:r>
        <w:rPr>
          <w:rFonts w:ascii="Arial" w:cs="Arial" w:eastAsia="Arial" w:hAnsi="Arial"/>
          <w:sz w:val="22"/>
          <w:szCs w:val="22"/>
          <w:rtl/>
        </w:rPr>
        <w:t xml:space="preserve"> يجب إرسال أي أسئلة تتعلق بهذه المناقصة بالبريد الإلكتروني إلى Procurement-syria@furatlogs.com. ولن يُنظر في أي أسئلة/توضيحات ترد بوسيلة أخرى. ويجب ذكر رقم المناقصة في الموضوع. وسيتم تجميع الردود وإرسالها بالبريد الإلكتروني إلى مقدّم العرض المحتمل الطالب، وإلى جميع المنظمات التي طلبت هذا الـ RFP، أو إعادة نشرها علنًا إذا طُرحت كمنافسة كاملة ومفتوحة.</w:t>
      </w:r>
    </w:p>
    <w:p>
      <w:pPr>
        <w:pStyle w:val="ListParagraph"/>
        <w:numPr>
          <w:ilvl w:val="0"/>
          <w:numId w:val="4"/>
        </w:numPr>
        <w:bidi/>
        <w:spacing w:after="60" w:line="290"/>
        <w:jc w:val="start"/>
      </w:pPr>
      <w:r>
        <w:rPr>
          <w:rFonts w:ascii="Arial" w:cs="Arial" w:eastAsia="Arial" w:hAnsi="Arial"/>
          <w:sz w:val="22"/>
          <w:szCs w:val="22"/>
          <w:rtl/>
        </w:rPr>
        <w:t xml:space="preserve">تتوقع Creative إجراء مناقشات مع مقدّمي العروض؛ إلا أنها تحتفظ بالحق في إصدار العقد دون مناقشات. ويُوصى بشدة بأن يقدّم مقدّمو العروض أفضل عروضهم.</w:t>
      </w:r>
    </w:p>
    <w:p>
      <w:pPr>
        <w:pStyle w:val="ListParagraph"/>
        <w:numPr>
          <w:ilvl w:val="0"/>
          <w:numId w:val="4"/>
        </w:numPr>
        <w:bidi/>
        <w:spacing w:after="60" w:line="290"/>
        <w:jc w:val="start"/>
      </w:pPr>
      <w:r>
        <w:rPr>
          <w:rFonts w:ascii="Arial" w:cs="Arial" w:eastAsia="Arial" w:hAnsi="Arial"/>
          <w:b/>
          <w:bCs/>
          <w:sz w:val="22"/>
          <w:szCs w:val="22"/>
          <w:rtl/>
        </w:rPr>
        <w:t xml:space="preserve">الأهلية للشركات – المصدر/المنشأ/الجنسية (Source/Origin/Nationality):</w:t>
      </w:r>
      <w:r>
        <w:rPr>
          <w:rFonts w:ascii="Arial" w:cs="Arial" w:eastAsia="Arial" w:hAnsi="Arial"/>
          <w:sz w:val="22"/>
          <w:szCs w:val="22"/>
          <w:rtl/>
        </w:rPr>
        <w:t xml:space="preserve"> الرمز الجغرافي المصرّح به لمصدر ومنشأ السلع والخدمات ولجنسية مورّدينا بموجب هذا العقد هو </w:t>
      </w:r>
      <w:r>
        <w:rPr>
          <w:rFonts w:ascii="Arial" w:cs="Arial" w:eastAsia="Arial" w:hAnsi="Arial"/>
          <w:b/>
          <w:bCs/>
          <w:sz w:val="22"/>
          <w:szCs w:val="22"/>
          <w:rtl/>
        </w:rPr>
        <w:t xml:space="preserve">937</w:t>
      </w:r>
      <w:r>
        <w:rPr>
          <w:rFonts w:ascii="Arial" w:cs="Arial" w:eastAsia="Arial" w:hAnsi="Arial"/>
          <w:sz w:val="22"/>
          <w:szCs w:val="22"/>
          <w:rtl/>
        </w:rPr>
        <w:t xml:space="preserve">. ويمكن الاطلاع على مناقشة كاملة لمتطلبات المصدر/المنشأ/الجنسية في 22 CFR 228 (انظر http://www.access.gpo.gov/nara/cfr/waisidx_02/22cfr228_02.html). وسيُعد مقدّمو العروض الذين تخفق عروضهم في استيفاء متطلبات الجنسية غير مستجيبين.</w:t>
      </w:r>
    </w:p>
    <w:p>
      <w:pPr>
        <w:bidi/>
        <w:spacing w:after="100" w:before="100" w:line="300"/>
        <w:jc w:val="start"/>
      </w:pPr>
      <w:r>
        <w:rPr>
          <w:rFonts w:ascii="Arial" w:cs="Arial" w:eastAsia="Arial" w:hAnsi="Arial"/>
          <w:sz w:val="22"/>
          <w:szCs w:val="22"/>
          <w:rtl/>
        </w:rPr>
        <w:t xml:space="preserve">إن عدم الموافقة على أي من المواصفات أعلاه أو عدم الامتثال لها سيؤدي إلى اعتبار مقدّم العرض غير مستجيب، وقد يُرفض العرض.</w:t>
      </w:r>
    </w:p>
    <w:p>
      <w:pPr>
        <w:pStyle w:val="Heading2"/>
        <w:keepNext/>
        <w:bidi/>
        <w:spacing w:after="120" w:before="240"/>
        <w:jc w:val="start"/>
      </w:pPr>
      <w:r>
        <w:rPr>
          <w:rFonts w:ascii="Arial" w:cs="Arial" w:eastAsia="Arial" w:hAnsi="Arial"/>
          <w:b/>
          <w:bCs/>
          <w:color w:val="2E5597"/>
          <w:sz w:val="26"/>
          <w:szCs w:val="26"/>
          <w:rtl/>
        </w:rPr>
        <w:t xml:space="preserve">B. تقديم العرض (Submission of Proposal)</w:t>
      </w:r>
    </w:p>
    <w:p>
      <w:pPr>
        <w:bidi/>
        <w:spacing w:after="100" w:before="0" w:line="300"/>
        <w:jc w:val="start"/>
      </w:pPr>
      <w:r>
        <w:rPr>
          <w:rFonts w:ascii="Arial" w:cs="Arial" w:eastAsia="Arial" w:hAnsi="Arial"/>
          <w:sz w:val="22"/>
          <w:szCs w:val="22"/>
          <w:rtl/>
        </w:rPr>
        <w:t xml:space="preserve">يجب تقديم العروض في رسالتي بريد إلكتروني منفصلتين:</w:t>
      </w:r>
    </w:p>
    <w:p>
      <w:pPr>
        <w:pStyle w:val="ListParagraph"/>
        <w:numPr>
          <w:ilvl w:val="0"/>
          <w:numId w:val="2"/>
        </w:numPr>
        <w:bidi/>
        <w:spacing w:after="60" w:line="290"/>
        <w:jc w:val="start"/>
      </w:pPr>
      <w:r>
        <w:rPr>
          <w:rFonts w:ascii="Arial" w:cs="Arial" w:eastAsia="Arial" w:hAnsi="Arial"/>
          <w:b/>
          <w:bCs/>
          <w:sz w:val="22"/>
          <w:szCs w:val="22"/>
          <w:rtl/>
        </w:rPr>
        <w:t xml:space="preserve">الرسالة 1 –</w:t>
      </w:r>
      <w:r>
        <w:rPr>
          <w:rFonts w:ascii="Arial" w:cs="Arial" w:eastAsia="Arial" w:hAnsi="Arial"/>
          <w:sz w:val="22"/>
          <w:szCs w:val="22"/>
          <w:rtl/>
        </w:rPr>
        <w:t xml:space="preserve"> العرض الفني، ويشمل نبذة عن الشركة (company profile) والمنهجية وخطة الكوادر (staffing plan) ومخططات المخرجات المبدئية.</w:t>
      </w:r>
    </w:p>
    <w:p>
      <w:pPr>
        <w:pStyle w:val="ListParagraph"/>
        <w:numPr>
          <w:ilvl w:val="0"/>
          <w:numId w:val="2"/>
        </w:numPr>
        <w:bidi/>
        <w:spacing w:after="60" w:line="290"/>
        <w:jc w:val="start"/>
      </w:pPr>
      <w:r>
        <w:rPr>
          <w:rFonts w:ascii="Arial" w:cs="Arial" w:eastAsia="Arial" w:hAnsi="Arial"/>
          <w:b/>
          <w:bCs/>
          <w:sz w:val="22"/>
          <w:szCs w:val="22"/>
          <w:rtl/>
        </w:rPr>
        <w:t xml:space="preserve">الرسالة 2 –</w:t>
      </w:r>
      <w:r>
        <w:rPr>
          <w:rFonts w:ascii="Arial" w:cs="Arial" w:eastAsia="Arial" w:hAnsi="Arial"/>
          <w:sz w:val="22"/>
          <w:szCs w:val="22"/>
          <w:rtl/>
        </w:rPr>
        <w:t xml:space="preserve"> العرض المالي/التجاري.</w:t>
      </w:r>
    </w:p>
    <w:p>
      <w:pPr>
        <w:pStyle w:val="ListParagraph"/>
        <w:numPr>
          <w:ilvl w:val="0"/>
          <w:numId w:val="2"/>
        </w:numPr>
        <w:bidi/>
        <w:spacing w:after="60" w:line="290"/>
        <w:jc w:val="start"/>
      </w:pPr>
      <w:r>
        <w:rPr>
          <w:rFonts w:ascii="Arial" w:cs="Arial" w:eastAsia="Arial" w:hAnsi="Arial"/>
          <w:sz w:val="22"/>
          <w:szCs w:val="22"/>
          <w:rtl/>
        </w:rPr>
        <w:t xml:space="preserve">يجب أن تحمل كل رسالة بوضوح رقم الـ RFP وعنوان المشروع.</w:t>
      </w:r>
    </w:p>
    <w:p>
      <w:pPr>
        <w:pStyle w:val="ListParagraph"/>
        <w:numPr>
          <w:ilvl w:val="0"/>
          <w:numId w:val="2"/>
        </w:numPr>
        <w:bidi/>
        <w:spacing w:after="60" w:line="290"/>
        <w:jc w:val="start"/>
      </w:pPr>
      <w:r>
        <w:rPr>
          <w:rFonts w:ascii="Arial" w:cs="Arial" w:eastAsia="Arial" w:hAnsi="Arial"/>
          <w:sz w:val="22"/>
          <w:szCs w:val="22"/>
          <w:rtl/>
        </w:rPr>
        <w:t xml:space="preserve">يجب تسليم العروض في موعد أقصاه التاريخ/الوقت المحدد إلى العنوان التالي: إدارة المشتريات في Creative – Procurement-syria@furatlogs.com</w:t>
      </w:r>
    </w:p>
    <w:p>
      <w:pPr>
        <w:bidi/>
        <w:spacing w:after="100" w:before="0" w:line="300"/>
        <w:jc w:val="start"/>
      </w:pPr>
      <w:r>
        <w:rPr>
          <w:rFonts w:ascii="Arial" w:cs="Arial" w:eastAsia="Arial" w:hAnsi="Arial"/>
          <w:sz w:val="22"/>
          <w:szCs w:val="22"/>
          <w:rtl/>
        </w:rPr>
        <w:t xml:space="preserve">قد يُستبعد تلقائيًا مقدّمو العروض الذين لا يقدّمون عرضيهم الفني والمالي بشكل منفصل.</w:t>
      </w:r>
    </w:p>
    <w:p>
      <w:pPr>
        <w:pStyle w:val="Heading2"/>
        <w:keepNext/>
        <w:bidi/>
        <w:spacing w:after="120" w:before="240"/>
        <w:jc w:val="start"/>
      </w:pPr>
      <w:r>
        <w:rPr>
          <w:rFonts w:ascii="Arial" w:cs="Arial" w:eastAsia="Arial" w:hAnsi="Arial"/>
          <w:b/>
          <w:bCs/>
          <w:color w:val="2E5597"/>
          <w:sz w:val="26"/>
          <w:szCs w:val="26"/>
          <w:rtl/>
        </w:rPr>
        <w:t xml:space="preserve">C. محتوى العرض (Content of Proposal)</w:t>
      </w:r>
    </w:p>
    <w:p>
      <w:pPr>
        <w:bidi/>
        <w:spacing w:after="100" w:before="0" w:line="300"/>
        <w:jc w:val="start"/>
      </w:pPr>
      <w:r>
        <w:rPr>
          <w:rFonts w:ascii="Arial" w:cs="Arial" w:eastAsia="Arial" w:hAnsi="Arial"/>
          <w:sz w:val="22"/>
          <w:szCs w:val="22"/>
          <w:rtl/>
        </w:rPr>
        <w:t xml:space="preserve">1. يتكوّن العرض من أربعة أقسام:</w:t>
      </w:r>
    </w:p>
    <w:p>
      <w:pPr>
        <w:pStyle w:val="ListParagraph"/>
        <w:numPr>
          <w:ilvl w:val="0"/>
          <w:numId w:val="2"/>
        </w:numPr>
        <w:bidi/>
        <w:spacing w:after="60" w:line="290"/>
        <w:jc w:val="start"/>
      </w:pPr>
      <w:r>
        <w:rPr>
          <w:rFonts w:ascii="Arial" w:cs="Arial" w:eastAsia="Arial" w:hAnsi="Arial"/>
          <w:b/>
          <w:bCs/>
          <w:sz w:val="22"/>
          <w:szCs w:val="22"/>
          <w:rtl/>
        </w:rPr>
        <w:t xml:space="preserve">A. خطاب تغطية مقدّم العرض (الملحق IV)</w:t>
      </w:r>
      <w:r>
        <w:rPr>
          <w:rFonts w:ascii="Arial" w:cs="Arial" w:eastAsia="Arial" w:hAnsi="Arial"/>
          <w:sz w:val="22"/>
          <w:szCs w:val="22"/>
          <w:rtl/>
        </w:rPr>
        <w:t xml:space="preserve"> – يجب أن يكون على الورق الرسمي (letterhead) لمقدّم العرض وأن يتضمن حتمًا المعلومات المطلوبة في الملحق IV.</w:t>
      </w:r>
    </w:p>
    <w:p>
      <w:pPr>
        <w:pStyle w:val="ListParagraph"/>
        <w:numPr>
          <w:ilvl w:val="0"/>
          <w:numId w:val="2"/>
        </w:numPr>
        <w:bidi/>
        <w:spacing w:after="60" w:line="290"/>
        <w:jc w:val="start"/>
      </w:pPr>
      <w:r>
        <w:rPr>
          <w:rFonts w:ascii="Arial" w:cs="Arial" w:eastAsia="Arial" w:hAnsi="Arial"/>
          <w:b/>
          <w:bCs/>
          <w:sz w:val="22"/>
          <w:szCs w:val="22"/>
          <w:rtl/>
        </w:rPr>
        <w:t xml:space="preserve">B. رخصة عمل سارية لمقدّم العرض</w:t>
      </w:r>
      <w:r>
        <w:rPr>
          <w:rFonts w:ascii="Arial" w:cs="Arial" w:eastAsia="Arial" w:hAnsi="Arial"/>
          <w:sz w:val="22"/>
          <w:szCs w:val="22"/>
          <w:rtl/>
        </w:rPr>
        <w:t xml:space="preserve"> – يجب أن يرفق مقدّم العرض نسخة من رخصة العمل السارية.</w:t>
      </w:r>
    </w:p>
    <w:p>
      <w:pPr>
        <w:pStyle w:val="ListParagraph"/>
        <w:numPr>
          <w:ilvl w:val="0"/>
          <w:numId w:val="2"/>
        </w:numPr>
        <w:bidi/>
        <w:spacing w:after="60" w:line="290"/>
        <w:jc w:val="start"/>
      </w:pPr>
      <w:r>
        <w:rPr>
          <w:rFonts w:ascii="Arial" w:cs="Arial" w:eastAsia="Arial" w:hAnsi="Arial"/>
          <w:b/>
          <w:bCs/>
          <w:sz w:val="22"/>
          <w:szCs w:val="22"/>
          <w:rtl/>
        </w:rPr>
        <w:t xml:space="preserve">C. العرض الفني (Technical Proposal)</w:t>
      </w:r>
    </w:p>
    <w:p>
      <w:pPr>
        <w:pStyle w:val="ListParagraph"/>
        <w:numPr>
          <w:ilvl w:val="1"/>
          <w:numId w:val="2"/>
        </w:numPr>
        <w:bidi/>
        <w:spacing w:after="60" w:line="290"/>
        <w:jc w:val="start"/>
      </w:pPr>
      <w:r>
        <w:rPr>
          <w:rFonts w:ascii="Arial" w:cs="Arial" w:eastAsia="Arial" w:hAnsi="Arial"/>
          <w:sz w:val="22"/>
          <w:szCs w:val="22"/>
          <w:rtl/>
        </w:rPr>
        <w:t xml:space="preserve">يجب أن يعالج بوضوح ودقة الجوانب النظرية والعملية التي أخذها مقدّم العرض في الاعتبار وسيستخدمها لتنفيذ بيان الأعمال.</w:t>
      </w:r>
    </w:p>
    <w:p>
      <w:pPr>
        <w:pStyle w:val="ListParagraph"/>
        <w:numPr>
          <w:ilvl w:val="1"/>
          <w:numId w:val="2"/>
        </w:numPr>
        <w:bidi/>
        <w:spacing w:after="60" w:line="290"/>
        <w:jc w:val="start"/>
      </w:pPr>
      <w:r>
        <w:rPr>
          <w:rFonts w:ascii="Arial" w:cs="Arial" w:eastAsia="Arial" w:hAnsi="Arial"/>
          <w:sz w:val="22"/>
          <w:szCs w:val="22"/>
          <w:rtl/>
        </w:rPr>
        <w:t xml:space="preserve">العرض الفني هو فرصة لمقدّم العرض ليثبت أن الشركة "قادرة فنيًا" على تنفيذ النشاط، وينبغي أن يُظهر فهم مقدّم العرض وقدراته على تنفيذ العمل، وأن يعالج القضايا الرئيسية الواردة في معايير التقييم في الملحق III.</w:t>
      </w:r>
    </w:p>
    <w:p>
      <w:pPr>
        <w:pStyle w:val="ListParagraph"/>
        <w:numPr>
          <w:ilvl w:val="1"/>
          <w:numId w:val="2"/>
        </w:numPr>
        <w:bidi/>
        <w:spacing w:after="60" w:line="290"/>
        <w:jc w:val="start"/>
      </w:pPr>
      <w:r>
        <w:rPr>
          <w:rFonts w:ascii="Arial" w:cs="Arial" w:eastAsia="Arial" w:hAnsi="Arial"/>
          <w:sz w:val="22"/>
          <w:szCs w:val="22"/>
          <w:rtl/>
        </w:rPr>
        <w:t xml:space="preserve">ينبغي تقسيم العرض الفني إلى أقسام منفصلة بوضوح وفق ترتيب معايير التقييم نفسه في الملحق III. وسيؤدي العرض غير المرتّب الذي يصعّب العثور على المعلومات إلى درجات أدنى.</w:t>
      </w:r>
    </w:p>
    <w:p>
      <w:pPr>
        <w:pStyle w:val="ListParagraph"/>
        <w:numPr>
          <w:ilvl w:val="1"/>
          <w:numId w:val="2"/>
        </w:numPr>
        <w:bidi/>
        <w:spacing w:after="60" w:line="290"/>
        <w:jc w:val="start"/>
      </w:pPr>
      <w:r>
        <w:rPr>
          <w:rFonts w:ascii="Arial" w:cs="Arial" w:eastAsia="Arial" w:hAnsi="Arial"/>
          <w:sz w:val="22"/>
          <w:szCs w:val="22"/>
          <w:rtl/>
        </w:rPr>
        <w:t xml:space="preserve">إذا قدّم مقدّم العرض عرضًا لا يستجيب لغالبية المعلومات المطلوبة في هذا الـ RFP، كما هو محدد في بيان الأعمال ومعايير التقييم، فسيُستبعد عرضه تلقائيًا.</w:t>
      </w:r>
    </w:p>
    <w:p>
      <w:pPr>
        <w:pStyle w:val="ListParagraph"/>
        <w:numPr>
          <w:ilvl w:val="0"/>
          <w:numId w:val="2"/>
        </w:numPr>
        <w:bidi/>
        <w:spacing w:after="60" w:line="290"/>
        <w:jc w:val="start"/>
      </w:pPr>
      <w:r>
        <w:rPr>
          <w:rFonts w:ascii="Arial" w:cs="Arial" w:eastAsia="Arial" w:hAnsi="Arial"/>
          <w:b/>
          <w:bCs/>
          <w:sz w:val="22"/>
          <w:szCs w:val="22"/>
          <w:rtl/>
        </w:rPr>
        <w:t xml:space="preserve">D. العرض المالي/التجاري (Cost/Business Proposal)</w:t>
      </w:r>
      <w:r>
        <w:rPr>
          <w:rFonts w:ascii="Arial" w:cs="Arial" w:eastAsia="Arial" w:hAnsi="Arial"/>
          <w:sz w:val="22"/>
          <w:szCs w:val="22"/>
          <w:rtl/>
        </w:rPr>
        <w:t xml:space="preserve"> يُقدَّم بشكل منفصل عن العرض الفني، ويبيّن أساسًا تكلفة تنفيذ العمل المحدد في هذا الـ RFP.</w:t>
      </w:r>
    </w:p>
    <w:p>
      <w:pPr>
        <w:bidi/>
        <w:spacing w:after="100" w:before="100" w:line="300"/>
        <w:jc w:val="start"/>
      </w:pPr>
      <w:r>
        <w:rPr>
          <w:rFonts w:ascii="Arial" w:cs="Arial" w:eastAsia="Arial" w:hAnsi="Arial"/>
          <w:sz w:val="22"/>
          <w:szCs w:val="22"/>
          <w:rtl/>
        </w:rPr>
        <w:t xml:space="preserve">كحد أدنى، ينبغي أن يتضمن العرض المالي/التجاري المعلومات التالية:</w:t>
      </w:r>
    </w:p>
    <w:p>
      <w:pPr>
        <w:pStyle w:val="Heading3"/>
        <w:keepNext/>
        <w:bidi/>
        <w:spacing w:after="80" w:before="160"/>
        <w:jc w:val="start"/>
      </w:pPr>
      <w:r>
        <w:rPr>
          <w:rFonts w:ascii="Arial" w:cs="Arial" w:eastAsia="Arial" w:hAnsi="Arial"/>
          <w:b/>
          <w:bCs/>
          <w:color w:val="404040"/>
          <w:sz w:val="23"/>
          <w:szCs w:val="23"/>
          <w:rtl/>
        </w:rPr>
        <w:t xml:space="preserve">1. الميزانية (Budget)</w:t>
      </w:r>
    </w:p>
    <w:p>
      <w:pPr>
        <w:pStyle w:val="ListParagraph"/>
        <w:numPr>
          <w:ilvl w:val="0"/>
          <w:numId w:val="2"/>
        </w:numPr>
        <w:bidi/>
        <w:spacing w:after="60" w:line="290"/>
        <w:jc w:val="start"/>
      </w:pPr>
      <w:r>
        <w:rPr>
          <w:rFonts w:ascii="Arial" w:cs="Arial" w:eastAsia="Arial" w:hAnsi="Arial"/>
          <w:sz w:val="22"/>
          <w:szCs w:val="22"/>
          <w:rtl/>
        </w:rPr>
        <w:t xml:space="preserve">ميزانية تفصيلية تتضمن تفصيلًا للعمالة المحمّلة بالكامل (fully burdened labor) حسب فئة العمالة، وللتكاليف المباشرة الأخرى (other direct costs) حسب البند.</w:t>
      </w:r>
    </w:p>
    <w:p>
      <w:pPr>
        <w:pStyle w:val="ListParagraph"/>
        <w:numPr>
          <w:ilvl w:val="0"/>
          <w:numId w:val="2"/>
        </w:numPr>
        <w:bidi/>
        <w:spacing w:after="60" w:line="290"/>
        <w:jc w:val="start"/>
      </w:pPr>
      <w:r>
        <w:rPr>
          <w:rFonts w:ascii="Arial" w:cs="Arial" w:eastAsia="Arial" w:hAnsi="Arial"/>
          <w:sz w:val="22"/>
          <w:szCs w:val="22"/>
          <w:rtl/>
        </w:rPr>
        <w:t xml:space="preserve">ملاحظات تسعير تفصيلية وشاملة تقدّم معلومات عن كل بند من بنود الميزانية وتوضح سبب الحاجة إلى هذه البنود لتنفيذ النشاط.</w:t>
      </w:r>
    </w:p>
    <w:p>
      <w:pPr>
        <w:pStyle w:val="ListParagraph"/>
        <w:numPr>
          <w:ilvl w:val="0"/>
          <w:numId w:val="2"/>
        </w:numPr>
        <w:bidi/>
        <w:spacing w:after="60" w:line="290"/>
        <w:jc w:val="start"/>
      </w:pPr>
      <w:r>
        <w:rPr>
          <w:rFonts w:ascii="Arial" w:cs="Arial" w:eastAsia="Arial" w:hAnsi="Arial"/>
          <w:sz w:val="22"/>
          <w:szCs w:val="22"/>
          <w:rtl/>
        </w:rPr>
        <w:t xml:space="preserve">وصف للنظم المالية والمحاسبية لدى مقدّم العرض…</w:t>
      </w:r>
    </w:p>
    <w:p>
      <w:pPr>
        <w:pStyle w:val="ListParagraph"/>
        <w:numPr>
          <w:ilvl w:val="0"/>
          <w:numId w:val="2"/>
        </w:numPr>
        <w:bidi/>
        <w:spacing w:after="60" w:line="290"/>
        <w:jc w:val="start"/>
      </w:pPr>
      <w:r>
        <w:rPr>
          <w:rFonts w:ascii="Arial" w:cs="Arial" w:eastAsia="Arial" w:hAnsi="Arial"/>
          <w:sz w:val="22"/>
          <w:szCs w:val="22"/>
          <w:rtl/>
        </w:rPr>
        <w:t xml:space="preserve">إذا قدّم مقدّم العرض معلومات غير كافية في عرضه الفني و/أو المالي أو كان مطلوبًا مزيد من البيانات لتبرير معقولية الأسعار المقترحة، فإن Creative تحتفظ بالحق في طلب بيانات تكلفة أو معلومات إضافية أو طلب عرض منقّح من مقدّم العرض عند الضرورة.</w:t>
      </w:r>
    </w:p>
    <w:p>
      <w:pPr>
        <w:pStyle w:val="ListParagraph"/>
        <w:numPr>
          <w:ilvl w:val="0"/>
          <w:numId w:val="2"/>
        </w:numPr>
        <w:bidi/>
        <w:spacing w:after="60" w:line="290"/>
        <w:jc w:val="start"/>
      </w:pPr>
      <w:r>
        <w:rPr>
          <w:rFonts w:ascii="Arial" w:cs="Arial" w:eastAsia="Arial" w:hAnsi="Arial"/>
          <w:sz w:val="22"/>
          <w:szCs w:val="22"/>
          <w:rtl/>
        </w:rPr>
        <w:t xml:space="preserve">إذا كانت معدلات التكاليف غير المباشرة (indirect rates) مطلوبة، فيجب على مقدّمي العروض تقديم حسابات داعمة لتوزيع التكاليف غير المباشرة/العامة (overhead)، ونسخة من تقرير التدقيق والميزانية العمومية، وبيان الأرباح والخسائر (P&amp;L)/الدخل والنفقات/الإيرادات والنفقات، أو نسخة من اتفاقية معدل التكاليف غير المباشرة المتفاوض عليها الحالية (NICRA).</w:t>
      </w:r>
    </w:p>
    <w:p>
      <w:pPr>
        <w:pStyle w:val="ListParagraph"/>
        <w:numPr>
          <w:ilvl w:val="0"/>
          <w:numId w:val="2"/>
        </w:numPr>
        <w:bidi/>
        <w:spacing w:after="60" w:line="290"/>
        <w:jc w:val="start"/>
      </w:pPr>
      <w:r>
        <w:rPr>
          <w:rFonts w:ascii="Arial" w:cs="Arial" w:eastAsia="Arial" w:hAnsi="Arial"/>
          <w:sz w:val="22"/>
          <w:szCs w:val="22"/>
          <w:rtl/>
        </w:rPr>
        <w:t xml:space="preserve">بيانات التكلفة التفصيلية مطلوبة.</w:t>
      </w:r>
    </w:p>
    <w:p>
      <w:pPr>
        <w:pStyle w:val="ListParagraph"/>
        <w:numPr>
          <w:ilvl w:val="0"/>
          <w:numId w:val="2"/>
        </w:numPr>
        <w:bidi/>
        <w:spacing w:after="60" w:line="290"/>
        <w:jc w:val="start"/>
      </w:pPr>
      <w:r>
        <w:rPr>
          <w:rFonts w:ascii="Arial" w:cs="Arial" w:eastAsia="Arial" w:hAnsi="Arial"/>
          <w:sz w:val="22"/>
          <w:szCs w:val="22"/>
          <w:rtl/>
        </w:rPr>
        <w:t xml:space="preserve">الجدول 1 أدناه نموذج مقترح للميزانية التفصيلية. ويجوز لمقدّم العرض إدراج أي بنود تكلفة معقولة ومسموحة وقابلة للتوزيع، ولكن يجب اتباع الفئات الرئيسية المذكورة أدناه، مع تفصيل جميع البنود "المقطوعة" (lump sum) بأكبر قدر معقول.</w:t>
      </w:r>
    </w:p>
    <w:p>
      <w:pPr>
        <w:bidi/>
        <w:spacing w:after="100" w:before="100" w:line="300"/>
        <w:jc w:val="start"/>
      </w:pPr>
      <w:r>
        <w:rPr>
          <w:rFonts w:ascii="Arial" w:cs="Arial" w:eastAsia="Arial" w:hAnsi="Arial"/>
          <w:b/>
          <w:bCs/>
          <w:sz w:val="22"/>
          <w:szCs w:val="22"/>
          <w:rtl/>
        </w:rPr>
        <w:t xml:space="preserve">الجدول 1 (Table 1)</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12"/>
        <w:gridCol w:w="1856"/>
        <w:gridCol w:w="1392"/>
        <w:gridCol w:w="1392"/>
        <w:gridCol w:w="1394"/>
      </w:tblGrid>
      <w:tr>
        <w:trPr>
          <w:cantSplit/>
          <w:tblHeader/>
        </w:trPr>
        <w:tc>
          <w:tcPr>
            <w:tcW w:type="dxa" w:w="37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الوصف (Description)</w:t>
            </w:r>
          </w:p>
        </w:tc>
        <w:tc>
          <w:tcPr>
            <w:tcW w:type="dxa" w:w="185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 (يوم/شهر)</w:t>
            </w:r>
          </w:p>
        </w:tc>
        <w:tc>
          <w:tcPr>
            <w:tcW w:type="dxa" w:w="139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139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تكلفة الوحدة</w:t>
            </w:r>
          </w:p>
        </w:tc>
        <w:tc>
          <w:tcPr>
            <w:tcW w:type="dxa" w:w="139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السعر الإجمالي</w:t>
            </w:r>
          </w:p>
        </w:tc>
      </w:tr>
      <w:tr>
        <w:trPr>
          <w:cantSplit/>
        </w:trPr>
        <w:tc>
          <w:tcPr>
            <w:tcW w:type="dxa" w:w="37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 كوادر البرنامج حسب فئة العمالة (Program Staffing by labor category)</w:t>
            </w:r>
          </w:p>
        </w:tc>
        <w:tc>
          <w:tcPr>
            <w:tcW w:type="dxa" w:w="185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7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B) السفر (Travel)</w:t>
            </w:r>
          </w:p>
        </w:tc>
        <w:tc>
          <w:tcPr>
            <w:tcW w:type="dxa" w:w="185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7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 المعدات (Equipment)</w:t>
            </w:r>
          </w:p>
        </w:tc>
        <w:tc>
          <w:tcPr>
            <w:tcW w:type="dxa" w:w="185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7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 المستلزمات (Supplies)</w:t>
            </w:r>
          </w:p>
        </w:tc>
        <w:tc>
          <w:tcPr>
            <w:tcW w:type="dxa" w:w="185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7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E) التكاليف المباشرة الأخرى (Other Direct Costs)</w:t>
            </w:r>
          </w:p>
        </w:tc>
        <w:tc>
          <w:tcPr>
            <w:tcW w:type="dxa" w:w="185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spacing w:after="120"/>
      </w:pPr>
    </w:p>
    <w:p>
      <w:pPr>
        <w:pStyle w:val="ListParagraph"/>
        <w:numPr>
          <w:ilvl w:val="0"/>
          <w:numId w:val="2"/>
        </w:numPr>
        <w:bidi/>
        <w:spacing w:after="60" w:line="290"/>
        <w:jc w:val="start"/>
      </w:pPr>
      <w:r>
        <w:rPr>
          <w:rFonts w:ascii="Arial" w:cs="Arial" w:eastAsia="Arial" w:hAnsi="Arial"/>
          <w:sz w:val="22"/>
          <w:szCs w:val="22"/>
          <w:rtl/>
        </w:rPr>
        <w:t xml:space="preserve">تقديم سرد/ملاحظات ميزانية شاملة بشكل معقول تقدّم معلومات عن كل بند من بنود الميزانية وتوضح سبب الحاجة إليه لتنفيذ النشاط.</w:t>
      </w:r>
    </w:p>
    <w:p>
      <w:pPr>
        <w:pStyle w:val="ListParagraph"/>
        <w:numPr>
          <w:ilvl w:val="0"/>
          <w:numId w:val="2"/>
        </w:numPr>
        <w:bidi/>
        <w:spacing w:after="60" w:line="290"/>
        <w:jc w:val="start"/>
      </w:pPr>
      <w:r>
        <w:rPr>
          <w:rFonts w:ascii="Arial" w:cs="Arial" w:eastAsia="Arial" w:hAnsi="Arial"/>
          <w:sz w:val="22"/>
          <w:szCs w:val="22"/>
          <w:rtl/>
        </w:rPr>
        <w:t xml:space="preserve">يجب تفصيل العمالة حسب فئة العمالة، وعلى مقدّم العرض إدراج أوصاف الوظائف بما فيها التعليم والخبرة المطلوبة لكل وظيفة.</w:t>
      </w:r>
    </w:p>
    <w:p>
      <w:pPr>
        <w:pStyle w:val="ListParagraph"/>
        <w:numPr>
          <w:ilvl w:val="0"/>
          <w:numId w:val="2"/>
        </w:numPr>
        <w:bidi/>
        <w:spacing w:after="60" w:line="290"/>
        <w:jc w:val="start"/>
      </w:pPr>
      <w:r>
        <w:rPr>
          <w:rFonts w:ascii="Arial" w:cs="Arial" w:eastAsia="Arial" w:hAnsi="Arial"/>
          <w:sz w:val="22"/>
          <w:szCs w:val="22"/>
          <w:rtl/>
        </w:rPr>
        <w:t xml:space="preserve">الأسعار اليومية مبنية على 8 ساعات في اليوم، والأسعار الشهرية مبنية على أسبوع عمل من 5 أيام.</w:t>
      </w:r>
    </w:p>
    <w:p>
      <w:pPr>
        <w:pStyle w:val="ListParagraph"/>
        <w:numPr>
          <w:ilvl w:val="0"/>
          <w:numId w:val="2"/>
        </w:numPr>
        <w:bidi/>
        <w:spacing w:after="60" w:line="290"/>
        <w:jc w:val="start"/>
      </w:pPr>
      <w:r>
        <w:rPr>
          <w:rFonts w:ascii="Arial" w:cs="Arial" w:eastAsia="Arial" w:hAnsi="Arial"/>
          <w:sz w:val="22"/>
          <w:szCs w:val="22"/>
          <w:rtl/>
        </w:rPr>
        <w:t xml:space="preserve">يجب تفصيل التكاليف المباشرة الأخرى والسفر حسب بند التكلفة.</w:t>
      </w:r>
    </w:p>
    <w:p>
      <w:pPr>
        <w:pStyle w:val="ListParagraph"/>
        <w:numPr>
          <w:ilvl w:val="0"/>
          <w:numId w:val="2"/>
        </w:numPr>
        <w:bidi/>
        <w:spacing w:after="60" w:line="290"/>
        <w:jc w:val="start"/>
      </w:pPr>
      <w:r>
        <w:rPr>
          <w:rFonts w:ascii="Arial" w:cs="Arial" w:eastAsia="Arial" w:hAnsi="Arial"/>
          <w:sz w:val="22"/>
          <w:szCs w:val="22"/>
          <w:rtl/>
        </w:rPr>
        <w:t xml:space="preserve">يجب تفصيل أي تكاليف تعاقد من الباطن (subcontracting) بطريقة مماثلة وتبريرها بالكامل بما في ذلك تحديد معقولية السعر (price reasonableness). ويجب إرفاق عروض أسعار المقاولين من الباطن مع العرض المالي.</w:t>
      </w:r>
    </w:p>
    <w:p>
      <w:pPr>
        <w:pStyle w:val="Heading3"/>
        <w:keepNext/>
        <w:bidi/>
        <w:spacing w:after="80" w:before="160"/>
        <w:jc w:val="start"/>
      </w:pPr>
      <w:r>
        <w:rPr>
          <w:rFonts w:ascii="Arial" w:cs="Arial" w:eastAsia="Arial" w:hAnsi="Arial"/>
          <w:b/>
          <w:bCs/>
          <w:color w:val="404040"/>
          <w:sz w:val="23"/>
          <w:szCs w:val="23"/>
          <w:rtl/>
        </w:rPr>
        <w:t xml:space="preserve">2. المراجع المهنية (Professional References)</w:t>
      </w:r>
    </w:p>
    <w:p>
      <w:pPr>
        <w:bidi/>
        <w:spacing w:after="100" w:before="0" w:line="300"/>
        <w:jc w:val="start"/>
      </w:pPr>
      <w:r>
        <w:rPr>
          <w:rFonts w:ascii="Arial" w:cs="Arial" w:eastAsia="Arial" w:hAnsi="Arial"/>
          <w:sz w:val="22"/>
          <w:szCs w:val="22"/>
          <w:rtl/>
        </w:rPr>
        <w:t xml:space="preserve">باستخدام تنسيق الجدول الدقيق المقدَّم أدناه، يرجى إدراج المشاريع المنفذة خلال السنوات الثلاث الماضية فقط، مع وصف موجز لمدى صلة كل منها بهذا الـ RFP وتفاصيل الاتصال بكل عميل أو جهة مانحة سابقة. يرجى إرفاق رسائل التوصية/التقدير والشهادات كمرفقات.</w:t>
      </w:r>
    </w:p>
    <w:p>
      <w:pPr>
        <w:bidi/>
        <w:spacing w:after="100" w:before="100" w:line="300"/>
        <w:jc w:val="start"/>
      </w:pPr>
      <w:r>
        <w:rPr>
          <w:rFonts w:ascii="Arial" w:cs="Arial" w:eastAsia="Arial" w:hAnsi="Arial"/>
          <w:b/>
          <w:bCs/>
          <w:sz w:val="22"/>
          <w:szCs w:val="22"/>
          <w:rtl/>
        </w:rPr>
        <w:t xml:space="preserve">الجدول 2 (Table 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1"/>
        <w:gridCol w:w="1178"/>
        <w:gridCol w:w="1178"/>
        <w:gridCol w:w="1571"/>
        <w:gridCol w:w="1571"/>
        <w:gridCol w:w="1178"/>
        <w:gridCol w:w="1021"/>
        <w:gridCol w:w="1578"/>
      </w:tblGrid>
      <w:tr>
        <w:trPr>
          <w:cantSplit/>
          <w:tblHeader/>
        </w:trPr>
        <w:tc>
          <w:tcPr>
            <w:tcW w:type="dxa" w:w="471"/>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w:t>
            </w:r>
          </w:p>
        </w:tc>
        <w:tc>
          <w:tcPr>
            <w:tcW w:type="dxa" w:w="117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(a) عنوان النشاط</w:t>
            </w:r>
          </w:p>
        </w:tc>
        <w:tc>
          <w:tcPr>
            <w:tcW w:type="dxa" w:w="117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(b) موقع/مواقع النشاط</w:t>
            </w:r>
          </w:p>
        </w:tc>
        <w:tc>
          <w:tcPr>
            <w:tcW w:type="dxa" w:w="1571"/>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(c) ملخص النشاط وصلته بهذا الـ RFP</w:t>
            </w:r>
          </w:p>
        </w:tc>
        <w:tc>
          <w:tcPr>
            <w:tcW w:type="dxa" w:w="1571"/>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(d) فترة التنفيذ (التاريخ، المدة، وهل أُنجز في الموعد)</w:t>
            </w:r>
          </w:p>
        </w:tc>
        <w:tc>
          <w:tcPr>
            <w:tcW w:type="dxa" w:w="117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(e) مقاول رئيسي أم من الباطن؟</w:t>
            </w:r>
          </w:p>
        </w:tc>
        <w:tc>
          <w:tcPr>
            <w:tcW w:type="dxa" w:w="1021"/>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(f) قيمة النشاط</w:t>
            </w:r>
          </w:p>
        </w:tc>
        <w:tc>
          <w:tcPr>
            <w:tcW w:type="dxa" w:w="157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(g) اسم العميل وبيانات الاتصال (بريد إلكتروني وهاتف)</w:t>
            </w:r>
          </w:p>
        </w:tc>
      </w:tr>
      <w:tr>
        <w:trPr>
          <w:cantSplit/>
        </w:trPr>
        <w:tc>
          <w:tcPr>
            <w:tcW w:type="dxa" w:w="4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02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4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02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4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w:t>
            </w: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1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02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57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spacing w:after="120"/>
      </w:pPr>
    </w:p>
    <w:p>
      <w:pPr>
        <w:bidi/>
        <w:spacing w:after="100" w:before="0" w:line="300"/>
        <w:jc w:val="start"/>
      </w:pPr>
      <w:r>
        <w:rPr>
          <w:rFonts w:ascii="Arial" w:cs="Arial" w:eastAsia="Arial" w:hAnsi="Arial"/>
          <w:sz w:val="22"/>
          <w:szCs w:val="22"/>
          <w:rtl/>
        </w:rPr>
        <w:t xml:space="preserve">إن عدم الامتثال لأي مما سبق سيؤدي إلى اعتبار مقدّم العرض "غير مستجيب" وقد يُرفض العرض. وتحتفظ Creative بالحق في عدم إجراء أي ترسية، أو إجراء ترسيات متعددة، بموجب هذا الـ RFP.</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III: معايير التقييم (Evaluation Criteria)</w:t>
      </w:r>
    </w:p>
    <w:p>
      <w:pPr>
        <w:pStyle w:val="Heading2"/>
        <w:keepNext/>
        <w:bidi/>
        <w:spacing w:after="120" w:before="240"/>
        <w:jc w:val="start"/>
      </w:pPr>
      <w:r>
        <w:rPr>
          <w:rFonts w:ascii="Arial" w:cs="Arial" w:eastAsia="Arial" w:hAnsi="Arial"/>
          <w:b/>
          <w:bCs/>
          <w:color w:val="2E5597"/>
          <w:sz w:val="26"/>
          <w:szCs w:val="26"/>
          <w:rtl/>
        </w:rPr>
        <w:t xml:space="preserve">A. أساس الترسية (Basis of Award)</w:t>
      </w:r>
    </w:p>
    <w:p>
      <w:pPr>
        <w:pStyle w:val="ListParagraph"/>
        <w:numPr>
          <w:ilvl w:val="0"/>
          <w:numId w:val="5"/>
        </w:numPr>
        <w:bidi/>
        <w:spacing w:after="60" w:line="290"/>
        <w:jc w:val="start"/>
      </w:pPr>
      <w:r>
        <w:rPr>
          <w:rFonts w:ascii="Arial" w:cs="Arial" w:eastAsia="Arial" w:hAnsi="Arial"/>
          <w:sz w:val="22"/>
          <w:szCs w:val="22"/>
          <w:rtl/>
        </w:rPr>
        <w:t xml:space="preserve">ستقيّم لجنة المشتريات العروض على أساس أفضل قيمة (best value)، وفقًا للائحة المشتريات الفيدرالية (Federal Acquisition Regulations – FAR) الجزء الفرعي 15.1 – عمليات وتقنيات اختيار المصدر.</w:t>
      </w:r>
    </w:p>
    <w:p>
      <w:pPr>
        <w:pStyle w:val="ListParagraph"/>
        <w:numPr>
          <w:ilvl w:val="0"/>
          <w:numId w:val="5"/>
        </w:numPr>
        <w:bidi/>
        <w:spacing w:after="60" w:line="290"/>
        <w:jc w:val="start"/>
      </w:pPr>
      <w:r>
        <w:rPr>
          <w:rFonts w:ascii="Arial" w:cs="Arial" w:eastAsia="Arial" w:hAnsi="Arial"/>
          <w:sz w:val="22"/>
          <w:szCs w:val="22"/>
          <w:rtl/>
        </w:rPr>
        <w:t xml:space="preserve">تُقيَّم العروض الفنية أولًا وبشكل مستقل عن السعر. ولا يجوز للمقيّمين الاطلاع على العروض المالية/التجارية حتى يكتمل التوافق الفني (technical consensus) وتحديد التأهيل.</w:t>
      </w:r>
    </w:p>
    <w:p>
      <w:pPr>
        <w:pStyle w:val="ListParagraph"/>
        <w:numPr>
          <w:ilvl w:val="0"/>
          <w:numId w:val="5"/>
        </w:numPr>
        <w:bidi/>
        <w:spacing w:after="60" w:line="290"/>
        <w:jc w:val="start"/>
      </w:pPr>
      <w:r>
        <w:rPr>
          <w:rFonts w:ascii="Arial" w:cs="Arial" w:eastAsia="Arial" w:hAnsi="Arial"/>
          <w:sz w:val="22"/>
          <w:szCs w:val="22"/>
          <w:rtl/>
        </w:rPr>
        <w:t xml:space="preserve">تُسجَّل الجدارة الفنية من 100 نقطة. ولا ينتقل إلى مراجعة معقولية التكلفة والقدرة المالية سوى مقدّمي العروض الذين حصلوا على 70 نقطة على الأقل.</w:t>
      </w:r>
    </w:p>
    <w:p>
      <w:pPr>
        <w:pStyle w:val="ListParagraph"/>
        <w:numPr>
          <w:ilvl w:val="0"/>
          <w:numId w:val="5"/>
        </w:numPr>
        <w:bidi/>
        <w:spacing w:after="60" w:line="290"/>
        <w:jc w:val="start"/>
      </w:pPr>
      <w:r>
        <w:rPr>
          <w:rFonts w:ascii="Arial" w:cs="Arial" w:eastAsia="Arial" w:hAnsi="Arial"/>
          <w:sz w:val="22"/>
          <w:szCs w:val="22"/>
          <w:rtl/>
        </w:rPr>
        <w:t xml:space="preserve">تتم الترسية على أساس أفضل قيمة: المختار هو مقدّم العرض المسؤول الذي يقدّم التوليفة المثلى من الجدارة الفنية والتكلفة المعقولة. ولا يكون السعر الأدنى وحده حاسمًا، ولا يُحوَّل السعر إلى نقاط.</w:t>
      </w:r>
    </w:p>
    <w:p>
      <w:pPr>
        <w:pStyle w:val="ListParagraph"/>
        <w:numPr>
          <w:ilvl w:val="0"/>
          <w:numId w:val="5"/>
        </w:numPr>
        <w:bidi/>
        <w:spacing w:after="60" w:line="290"/>
        <w:jc w:val="start"/>
      </w:pPr>
      <w:r>
        <w:rPr>
          <w:rFonts w:ascii="Arial" w:cs="Arial" w:eastAsia="Arial" w:hAnsi="Arial"/>
          <w:sz w:val="22"/>
          <w:szCs w:val="22"/>
          <w:rtl/>
        </w:rPr>
        <w:t xml:space="preserve">تُراجَع العروض المالية/التجارية من حيث المعقولية والجواز (allowability) والقابلية للتوزيع (allocability) والواقعية والاكتمال والاتساق مع العرض الفني؛ وهذه المراجعة غير مسجَّلة بنقاط.</w:t>
      </w:r>
    </w:p>
    <w:p>
      <w:pPr>
        <w:pStyle w:val="ListParagraph"/>
        <w:numPr>
          <w:ilvl w:val="0"/>
          <w:numId w:val="5"/>
        </w:numPr>
        <w:bidi/>
        <w:spacing w:after="60" w:line="290"/>
        <w:jc w:val="start"/>
      </w:pPr>
      <w:r>
        <w:rPr>
          <w:rFonts w:ascii="Arial" w:cs="Arial" w:eastAsia="Arial" w:hAnsi="Arial"/>
          <w:sz w:val="22"/>
          <w:szCs w:val="22"/>
          <w:rtl/>
        </w:rPr>
        <w:t xml:space="preserve">يجوز للجنة طلب توضيحات خطية، أو إجراء عرض تقديمي فني، أو التحقق من المراجع، أو طلب معلومات داعمة. ويجوز أن تشرح التوضيحات عرضًا ما أو تؤكده، لكن لا يجوز استخدامها للسماح لمقدّم العرض بإعادة كتابة عرضه أو اكتساب ميزة تنافسية غير عادلة.</w:t>
      </w:r>
    </w:p>
    <w:p>
      <w:pPr>
        <w:pStyle w:val="Heading2"/>
        <w:keepNext/>
        <w:bidi/>
        <w:spacing w:after="120" w:before="240"/>
        <w:jc w:val="start"/>
      </w:pPr>
      <w:r>
        <w:rPr>
          <w:rFonts w:ascii="Arial" w:cs="Arial" w:eastAsia="Arial" w:hAnsi="Arial"/>
          <w:b/>
          <w:bCs/>
          <w:color w:val="2E5597"/>
          <w:sz w:val="26"/>
          <w:szCs w:val="26"/>
          <w:rtl/>
        </w:rPr>
        <w:t xml:space="preserve">B. معايير التقييم (Evaluation Criteria)</w:t>
      </w:r>
    </w:p>
    <w:p>
      <w:pPr>
        <w:pStyle w:val="Heading3"/>
        <w:keepNext/>
        <w:bidi/>
        <w:spacing w:after="80" w:before="160"/>
        <w:jc w:val="start"/>
      </w:pPr>
      <w:r>
        <w:rPr>
          <w:rFonts w:ascii="Arial" w:cs="Arial" w:eastAsia="Arial" w:hAnsi="Arial"/>
          <w:b/>
          <w:bCs/>
          <w:color w:val="404040"/>
          <w:sz w:val="23"/>
          <w:szCs w:val="23"/>
          <w:rtl/>
        </w:rPr>
        <w:t xml:space="preserve">1. الفرز الأولي للامتثال والاستجابة (نجاح/رسوب – Pass/Fail)</w:t>
      </w:r>
    </w:p>
    <w:p>
      <w:pPr>
        <w:bidi/>
        <w:spacing w:after="100" w:before="0" w:line="300"/>
        <w:jc w:val="start"/>
      </w:pPr>
      <w:r>
        <w:rPr>
          <w:rFonts w:ascii="Arial" w:cs="Arial" w:eastAsia="Arial" w:hAnsi="Arial"/>
          <w:sz w:val="22"/>
          <w:szCs w:val="22"/>
          <w:rtl/>
        </w:rPr>
        <w:t xml:space="preserve">تُكمل إدارة المشتريات هذا الفرز قبل التسجيل الفني. تُسجَّل كل نتيجة والدليل الذي روجع. وعادةً تُعد نتيجة "رسوب" (Fail) غير مستجيبة وتُستبعد من مزيد من التقييم، مع مراعاة السلطة التقديرية المذكورة في الـ RFP وقواعد المشتريات المعمول بها.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640"/>
        <w:gridCol w:w="2322"/>
      </w:tblGrid>
      <w:tr>
        <w:trPr>
          <w:cantSplit/>
          <w:tblHeader/>
        </w:trPr>
        <w:tc>
          <w:tcPr>
            <w:tcW w:type="dxa" w:w="278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الفحص (Check)</w:t>
            </w:r>
          </w:p>
        </w:tc>
        <w:tc>
          <w:tcPr>
            <w:tcW w:type="dxa" w:w="4640"/>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معيار النجاح (Pass standard)</w:t>
            </w:r>
          </w:p>
        </w:tc>
        <w:tc>
          <w:tcPr>
            <w:tcW w:type="dxa" w:w="232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النتيجة / الدليل</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الالتزام بالموعد (Timeliness)</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استلام العرض بحلول تاريخ/وقت إغلاق الـ RFP، ما لم توثّق المشتريات استثناءً مصرَّحًا به.</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سجل الاستلام</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قناة التقديم الصحيحة ووضع العلامات (Correct submission channel and labeling)</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استلام العرضين الفني والمالي/التجاري في رسالتي بريد إلكتروني منفصلتين، مع وضع علامات مناسبة برقم الـ RFP وعنوانه.</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سجل البريد الإلكتروني</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خلو العرض الفني من الأسعار (Technical proposal free of pricing)</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لا يحتوي العرض الفني على أي معلومات عن التكلفة أو التسعير.</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سجل الفرز</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خطاب الاهتمام والزيارة الميدانية (Letter of Interest and site visit)</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خطاب اهتمام في الموعد وحضور الزيارة الميدانية الفعلية الإلزامية.</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سجل الـ LOI والحضور</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خطاب التغطية (Cover letter)</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خطاب تغطية مقدّم العرض (الملحق IV) مكتمل وموقّع.</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فحص الوثائق</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التفويض القانوني (Legal authorization)</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رخصة عمل سارية أو تسجيل/ترخيص آخر مقبول في الـ RFP، مع المعلومات التعريفية المطلوبة.</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نسخة الرخصة</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اللغة الإنكليزية وتنظيم العرض (English and proposal organization)</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العرض باللغة الإنكليزية ويتبع في جوهره ترتيب الملحق III؛ ويُوثَّق أي إخفاق جوهري يمنع التقييم.</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ملاحظات الفرز</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سريان العرض (Proposal validity)</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مدة سريان العرض 30 يومًا على الأقل بعد إغلاق الـ RFP، أو يوافق مقدّم العرض في الوقت المناسب على التمديد إذا طُلب منه.</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خطاب التغطية / التوضيح</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المصدر/المنشأ/الجنسية (Source/origin/nationality)</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يستوفي مقدّم العرض متطلبات الرمز الجغرافي 937 المصرّح به في الـ RFP، مع مراعاة التحقق.</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نجاح / رسوب؛ الشهادة / الفرز</w:t>
            </w:r>
          </w:p>
        </w:tc>
      </w:tr>
    </w:tbl>
    <w:p>
      <w:pPr>
        <w:pStyle w:val="Heading3"/>
        <w:keepNext/>
        <w:bidi/>
        <w:spacing w:after="80" w:before="160"/>
        <w:jc w:val="start"/>
      </w:pPr>
      <w:r>
        <w:rPr>
          <w:rFonts w:ascii="Arial" w:cs="Arial" w:eastAsia="Arial" w:hAnsi="Arial"/>
          <w:b/>
          <w:bCs/>
          <w:color w:val="404040"/>
          <w:sz w:val="23"/>
          <w:szCs w:val="23"/>
          <w:rtl/>
        </w:rPr>
        <w:t xml:space="preserve">2. المتطلبات الفنية الإلزامية (نجاح/رسوب – Pass/Fail)</w:t>
      </w:r>
    </w:p>
    <w:p>
      <w:pPr>
        <w:bidi/>
        <w:spacing w:after="100" w:before="0" w:line="300"/>
        <w:jc w:val="start"/>
      </w:pPr>
      <w:r>
        <w:rPr>
          <w:rFonts w:ascii="Arial" w:cs="Arial" w:eastAsia="Arial" w:hAnsi="Arial"/>
          <w:sz w:val="22"/>
          <w:szCs w:val="22"/>
          <w:rtl/>
        </w:rPr>
        <w:t xml:space="preserve">هذه عناصر مطلوبة في الـ RFP وغير قابلة للتفاوض. يُتحقق منها قبل التسجيل أو بالتوازي معه. إن غياب عنصر أساسي يمنع اللجنة من تحديد الامتثال ينبغي أن يؤدي إلى الرفض باعتباره غير مستجيب؛ أما الغموض الطفيف فيمكن توضيحه على قدم المساواة.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640"/>
        <w:gridCol w:w="2322"/>
      </w:tblGrid>
      <w:tr>
        <w:trPr>
          <w:cantSplit/>
          <w:tblHeader/>
        </w:trPr>
        <w:tc>
          <w:tcPr>
            <w:tcW w:type="dxa" w:w="278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المتطلب (Requirement)</w:t>
            </w:r>
          </w:p>
        </w:tc>
        <w:tc>
          <w:tcPr>
            <w:tcW w:type="dxa" w:w="4640"/>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الحد الأدنى لمعيار النجاح</w:t>
            </w:r>
          </w:p>
        </w:tc>
        <w:tc>
          <w:tcPr>
            <w:tcW w:type="dxa" w:w="232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الدليل</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التقديم الفني المطلوب (Required technical submission)</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يتضمن التقييم الفني نتائج مسح الموقع؛ ويعالج أحمال العمل والتخزين والشبكة والاتصال والافتراضات والاعتماديات والمخاطر والقيود وتدابير التخفيف.</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العرض الفني</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المعمارية وقابلية التوسع (Architecture and scalability)</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معمارية مركز بيانات وشبكة مناسبة الحجم؛ قابلية توسع صريحة للمرحلة 2 دون استبدال استثمارات المرحلة 1؛ نهج سيادة البيانات.</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سرد التصميم / المخططات</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جدول الكميات والميزانية (BoQ and budget)</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جدول كميات مفصّل محايد تجاه مقدّمي العروض بمواصفات قائمة على الأداء وميزانية مقدَّرة قائمة على السوق مرتبطة بحدود الميزانية؛ مع تحديد الافتراضات والاستثناءات والبنود الاختيارية والاحتياطيات.</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BoQ / الميزانية</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نهج الامتثال (Compliance approach)</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تضمين نهج فحص ضوابط التصدير والعقوبات والتراخيص الفنية، والإقرار بأن التنفيذ لا يمكن أن يمضي دون الموافقات المطلوبة.</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قسم الامتثال</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الحد الأدنى من الكوادر (Minimum staffing)</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تسمية مهندسَين/خبيرَين على الأقل؛ لكل من مهندس البنية التحتية لتقنية المعلومات والاتصالات (ICT Infrastructure Engineer) و/أو خبير مراكز البيانات خمس سنوات على الأقل من الخبرة ذات الصلة وارتباطات مثبتة في تصميم مراكز البيانات؛ وتقديم السير الذاتية (CVs) والهيكل التنظيمي (organogram).</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خطة الكوادر / السير الذاتية</w:t>
            </w:r>
          </w:p>
        </w:tc>
      </w:tr>
      <w:tr>
        <w:trPr>
          <w:cantSplit/>
        </w:trPr>
        <w:tc>
          <w:tcPr>
            <w:tcW w:type="dxa" w:w="278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الأداء السابق المماثل (Comparable past performance)</w:t>
            </w:r>
          </w:p>
        </w:tc>
        <w:tc>
          <w:tcPr>
            <w:tcW w:type="dxa" w:w="464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مهمة مماثلة واحدة على الأقل خلال السنوات الثلاث الأخيرة، مع مراجع العملاء ووصف الصلة.</w:t>
            </w:r>
          </w:p>
        </w:tc>
        <w:tc>
          <w:tcPr>
            <w:tcW w:type="dxa" w:w="23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جدول المراجع المهنية</w:t>
            </w:r>
          </w:p>
        </w:tc>
      </w:tr>
    </w:tbl>
    <w:p>
      <w:pPr>
        <w:pStyle w:val="Heading3"/>
        <w:keepNext/>
        <w:bidi/>
        <w:spacing w:after="80" w:before="160"/>
        <w:jc w:val="start"/>
      </w:pPr>
      <w:r>
        <w:rPr>
          <w:rFonts w:ascii="Arial" w:cs="Arial" w:eastAsia="Arial" w:hAnsi="Arial"/>
          <w:b/>
          <w:bCs/>
          <w:color w:val="404040"/>
          <w:sz w:val="23"/>
          <w:szCs w:val="23"/>
          <w:rtl/>
        </w:rPr>
        <w:t xml:space="preserve">3. منهجية التسجيل الفني (Technical scoring methodology) – 100 نقطة</w:t>
      </w:r>
    </w:p>
    <w:p>
      <w:pPr>
        <w:bidi/>
        <w:spacing w:after="100" w:before="0" w:line="300"/>
        <w:jc w:val="start"/>
      </w:pPr>
      <w:r>
        <w:rPr>
          <w:rFonts w:ascii="Arial" w:cs="Arial" w:eastAsia="Arial" w:hAnsi="Arial"/>
          <w:sz w:val="22"/>
          <w:szCs w:val="22"/>
          <w:rtl/>
        </w:rPr>
        <w:t xml:space="preserve">يسجّل كل مقيّم بشكل مستقل باستخدام المصفوفة أدناه. ويجب أن تستند الدرجات إلى اقتباسات من العرض. وتُمنح فقط النقاط التي تبررها جودة الاستجابة واكتمالها؛ ولا تُمنح نقاط لمجرد ذكر موضوع ما.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5105"/>
        <w:gridCol w:w="1393"/>
      </w:tblGrid>
      <w:tr>
        <w:trPr>
          <w:cantSplit/>
          <w:tblHeader/>
        </w:trPr>
        <w:tc>
          <w:tcPr>
            <w:tcW w:type="dxa" w:w="324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المعيار / المعيار الفرعي</w:t>
            </w:r>
          </w:p>
        </w:tc>
        <w:tc>
          <w:tcPr>
            <w:tcW w:type="dxa" w:w="5105"/>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محور التقييم المتوافق مع الـ RFP</w:t>
            </w:r>
          </w:p>
        </w:tc>
        <w:tc>
          <w:tcPr>
            <w:tcW w:type="dxa" w:w="139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الحد الأقصى</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1. بيان المشكلة والمعرفة المحلية (الحد الأقصى 15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1.1 بيئة تشغيل MOLAE وقيود البنية التحتية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فهم قيود البنية التحتية في بيئة تشغيل MOLAE.</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1.2 الوعي بالعقوبات وضوابط التصدير</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فهم بيئة العقوبات/ضوابط التصدير المفروضة على سوريا وانعكاساتها على المهمة.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1.3 سيادة البيانات وسياق الاستضافة المشتركة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فهم متطلبات سيادة البيانات وسياق تشغيل الاستضافة المشتركة (co-host).</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1.4 رقمنة الأرشيف ذي الأولوية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فهم متطلبات رقمنة الأرشيف ذي الأولوية الأولى من العقود.</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صياغة المشكلة الصحيحة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الاتساق العام لبيان المشكلة؛ وصياغتها بشكل صحيح بما يناسب MOLAE.</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2. القدرة على التنفيذ (الحد الأقصى 15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2.1 القدرة المؤسسية والسجل السابق</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القدرة المؤسسية المثبتة على تقييم مراكز البيانات/الشبكات وتصميم المعمارية وإعداد جدول الكميات في مهام مماثلة.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2.2 أساليب المسح ونهج التقييم</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مصداقية ودقة أساليب مسح الموقع ونهج التقييم المقترحة.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2.3 الجاهزية للتعبئة والتنفيذ</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القدرة على نشر الكوادر والموارد، وتأمين الوصول إلى الموقع، وإدارة المخاطر اللوجستية والتشغيلية ضمن بيئة التشغيل.</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3. المنهجية (الحد الأقصى 15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3.1 خطة العمل الزمنية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خطة زمنية تعالج أهداف الـ RFP بتسلسل منطقي.</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 نهج المرونة وقابلية التوسع للمرحلة 2</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نهج المرونة (resiliency) وقابلية التوسع للمرحلة 2 التي تقودها الوزارة.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3.3 مواصفات محايدة تجاه مقدّمي العروض وتقدير قائم على السوق</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نهج المواصفات القائمة على الأداء المحايدة تجاه مقدّمي العروض والتقدير القائم على السوق للتكلفة.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3.4 فحص الامتثال ومراجعة التصميم</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نهج فحص ضوابط التصدير/العقوبات وعملية مراجعة التصميم وتنقيحه.</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4. الكوادر والدعم داخل البلد (الحد الأقصى 20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20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4.1 مهندس/خبير البنية التحتية لتقنية المعلومات والاتصالات (ICT Infrastructure Engineer/Expert)</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الملاءمة والخبرة ذات الصلة (خمس سنوات كحد أدنى) ودليل على تصميم مراكز البيانات.</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4.2 مستشار الشبكات (Network Consultant)</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الملاءمة والخبرة ذات الصلة (خمس سنوات كحد أدنى) ودليل على تصميم مراكز البيانات.</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4.3 الأدوار وخطوط التقارير وقدرة التنفيذ</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وضوح الأدوار وخطوط التقارير؛ وقدرة الفريق على التنفيذ خلال مدة التنفيذ.</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4.4 الدعم داخل البلد (In-Country Support)</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توافر الكوادر أو الشركاء المحليين وكفايتهم لدعم التنفيذ ضمن بيئة التشغيل طوال مدة التنفيذ ومواصلة الدعم بعد التركيب.</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5. الأداء السابق (الحد الأقصى 15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5.1 صلة المهام وتشابهها</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صلة وتشابه مهمة مماثلة واحدة على الأقل خلال السنوات الثلاث الأخيرة.</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 سجل التنفيذ الناجح</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دليل على التنفيذ الناجح للمهام المماثلة المشار إليها.</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5.3 جودة المراجع ومصداقيتها</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جودة مراجع العملاء ومصداقيتها واتساقها.</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6. تفضيل المصدر والمصنّع (الحد الأقصى 20 نقطة)</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20 نقطة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6.1 المصدر والمصنّع المفضلان</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تُمنح الأفضلية للعروض التي تحدد مصدرًا ومصنّعًا موثوقين وقابلين للتتبع للمعدات والمواد المقترحة، بما يتسق مع الرمز الجغرافي المصرّح به في الـ RFP ومعايير الجودة/الضمان.</w:t>
            </w: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إجمالي الدرجة الفنية (Total technical score)</w:t>
            </w:r>
          </w:p>
        </w:tc>
        <w:tc>
          <w:tcPr>
            <w:tcW w:type="dxa" w:w="5105"/>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139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100</w:t>
            </w:r>
          </w:p>
        </w:tc>
      </w:tr>
    </w:tbl>
    <w:p>
      <w:pPr>
        <w:pStyle w:val="Heading3"/>
        <w:keepNext/>
        <w:bidi/>
        <w:spacing w:after="80" w:before="160"/>
        <w:jc w:val="start"/>
      </w:pPr>
      <w:r>
        <w:rPr>
          <w:rFonts w:ascii="Arial" w:cs="Arial" w:eastAsia="Arial" w:hAnsi="Arial"/>
          <w:b/>
          <w:bCs/>
          <w:color w:val="404040"/>
          <w:sz w:val="23"/>
          <w:szCs w:val="23"/>
          <w:rtl/>
        </w:rPr>
        <w:t xml:space="preserve">4. مؤشرات التقييم (Rating anchors)</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فئة التقييم</w:t>
            </w:r>
          </w:p>
        </w:tc>
        <w:tc>
          <w:tcPr>
            <w:tcW w:type="dxa" w:w="649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إرشادات توزيع نقاط المعيار</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ممتاز – Excellent (86–100% من النقاط المتاحة)</w:t>
            </w:r>
          </w:p>
        </w:tc>
        <w:tc>
          <w:tcPr>
            <w:tcW w:type="dxa" w:w="64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استجابة محددة وكاملة وقابلة للتنفيذ ومدعومة بأدلة جيدة؛ تخفّض مخاطر التنفيذ بشكل جوهري؛ فهم واضح وحل موثوق ومخصَّص.</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جيد – Good (80–85%)</w:t>
            </w:r>
          </w:p>
        </w:tc>
        <w:tc>
          <w:tcPr>
            <w:tcW w:type="dxa" w:w="64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استجابة متجاوبة وقابلة للتنفيذ مع أدلة كافية؛ ثغرات أو مخاطر طفيفة لا تقوّض الثقة.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مقبول – Acceptable (70–79%)</w:t>
            </w:r>
          </w:p>
        </w:tc>
        <w:tc>
          <w:tcPr>
            <w:tcW w:type="dxa" w:w="64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استجابة جزئية؛ ثغرات ذات شأن أو أدلة محدودة أو مخاطر معتدلة؛ لم تتحقق الثقة الدنيا اللازمة لدرجة عالية.</w:t>
            </w:r>
          </w:p>
        </w:tc>
      </w:tr>
      <w:tr>
        <w:trPr>
          <w:cantSplit/>
        </w:trPr>
        <w:tc>
          <w:tcPr>
            <w:tcW w:type="dxa" w:w="32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ضعيف وغير مقبول – Poor &amp; unacceptable (1–69%)</w:t>
            </w:r>
          </w:p>
        </w:tc>
        <w:tc>
          <w:tcPr>
            <w:tcW w:type="dxa" w:w="64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غير مكتملة جوهريًا أو عامة أو غير متسقة أو عالية المخاطر؛ ثقة محدودة في نجاح التنفيذ.</w:t>
            </w:r>
          </w:p>
        </w:tc>
      </w:tr>
    </w:tbl>
    <w:p>
      <w:pPr>
        <w:spacing w:after="120"/>
      </w:pPr>
    </w:p>
    <w:p>
      <w:pPr>
        <w:bidi/>
        <w:spacing w:after="100" w:before="0" w:line="300"/>
        <w:jc w:val="start"/>
      </w:pPr>
      <w:r>
        <w:rPr>
          <w:rFonts w:ascii="Arial" w:cs="Arial" w:eastAsia="Arial" w:hAnsi="Arial"/>
          <w:b/>
          <w:bCs/>
          <w:sz w:val="22"/>
          <w:szCs w:val="22"/>
          <w:rtl/>
        </w:rPr>
        <w:t xml:space="preserve">التأهيل الفني (Technical qualification):</w:t>
      </w:r>
      <w:r>
        <w:rPr>
          <w:rFonts w:ascii="Arial" w:cs="Arial" w:eastAsia="Arial" w:hAnsi="Arial"/>
          <w:sz w:val="22"/>
          <w:szCs w:val="22"/>
          <w:rtl/>
        </w:rPr>
        <w:t xml:space="preserve"> لا يتأهل مقدّم العرض إلا إذا اجتاز فحوص الامتثال والفحوص الإلزامية وحصل على درجة فنية نهائية بالتوافق (consensus) قدرها 70/100 أو أعلى. وتُعد العروض دون 70 غير تنافسية، ولا يجوز النظر في عروضها المالية/التجارية.</w:t>
      </w:r>
    </w:p>
    <w:p>
      <w:pPr>
        <w:pStyle w:val="Heading3"/>
        <w:keepNext/>
        <w:bidi/>
        <w:spacing w:after="80" w:before="160"/>
        <w:jc w:val="start"/>
      </w:pPr>
      <w:r>
        <w:rPr>
          <w:rFonts w:ascii="Arial" w:cs="Arial" w:eastAsia="Arial" w:hAnsi="Arial"/>
          <w:b/>
          <w:bCs/>
          <w:color w:val="404040"/>
          <w:sz w:val="23"/>
          <w:szCs w:val="23"/>
          <w:rtl/>
        </w:rPr>
        <w:t xml:space="preserve">5. الاختيار على أساس أفضل قيمة وقرار المراجعة المالية</w:t>
      </w:r>
    </w:p>
    <w:p>
      <w:pPr>
        <w:pStyle w:val="ListParagraph"/>
        <w:numPr>
          <w:ilvl w:val="0"/>
          <w:numId w:val="2"/>
        </w:numPr>
        <w:bidi/>
        <w:spacing w:after="60" w:line="290"/>
        <w:jc w:val="start"/>
      </w:pPr>
      <w:r>
        <w:rPr>
          <w:rFonts w:ascii="Arial" w:cs="Arial" w:eastAsia="Arial" w:hAnsi="Arial"/>
          <w:sz w:val="22"/>
          <w:szCs w:val="22"/>
          <w:rtl/>
        </w:rPr>
        <w:t xml:space="preserve">تُمنح الترسية على أساس أفضل قيمة لمقدّم العرض المسؤول الذي يقدّم التوليفة المثلى من الجدارة الفنية والتكلفة المعقولة. ولا يحدد السعر الأدنى وحده الترسية.</w:t>
      </w:r>
    </w:p>
    <w:p>
      <w:pPr>
        <w:pStyle w:val="ListParagraph"/>
        <w:numPr>
          <w:ilvl w:val="0"/>
          <w:numId w:val="2"/>
        </w:numPr>
        <w:bidi/>
        <w:spacing w:after="60" w:line="290"/>
        <w:jc w:val="start"/>
      </w:pPr>
      <w:r>
        <w:rPr>
          <w:rFonts w:ascii="Arial" w:cs="Arial" w:eastAsia="Arial" w:hAnsi="Arial"/>
          <w:sz w:val="22"/>
          <w:szCs w:val="22"/>
          <w:rtl/>
        </w:rPr>
        <w:t xml:space="preserve">لا يُنظر إلا في مقدّمي العروض الذين حققوا درجة تأهيل فنية نهائية لا تقل عن 70 من 100. ولن تُفتح ولن تُقيَّم العروض المالية/التجارية لمقدّمي العروض الذين لا يستوفون هذا الحد.</w:t>
      </w:r>
    </w:p>
    <w:p>
      <w:pPr>
        <w:pStyle w:val="ListParagraph"/>
        <w:numPr>
          <w:ilvl w:val="0"/>
          <w:numId w:val="2"/>
        </w:numPr>
        <w:bidi/>
        <w:spacing w:after="60" w:line="290"/>
        <w:jc w:val="start"/>
      </w:pPr>
      <w:r>
        <w:rPr>
          <w:rFonts w:ascii="Arial" w:cs="Arial" w:eastAsia="Arial" w:hAnsi="Arial"/>
          <w:sz w:val="22"/>
          <w:szCs w:val="22"/>
          <w:rtl/>
        </w:rPr>
        <w:t xml:space="preserve">بالنسبة لمقدّمي العروض المؤهلين فنيًا، سيُراجَع العرض المالي/التجاري من حيث المعقولية والاكتمال والاتساق مع العرض الفني، وستُقيَّم القدرة المالية لمقدّم العرض على تنفيذ المهمة. وقد تشمل هذه المراجعة طلب توضيح أو معلومات داعمة.</w:t>
      </w:r>
    </w:p>
    <w:p>
      <w:pPr>
        <w:pStyle w:val="ListParagraph"/>
        <w:numPr>
          <w:ilvl w:val="0"/>
          <w:numId w:val="2"/>
        </w:numPr>
        <w:bidi/>
        <w:spacing w:after="60" w:line="290"/>
        <w:jc w:val="start"/>
      </w:pPr>
      <w:r>
        <w:rPr>
          <w:rFonts w:ascii="Arial" w:cs="Arial" w:eastAsia="Arial" w:hAnsi="Arial"/>
          <w:b/>
          <w:bCs/>
          <w:sz w:val="22"/>
          <w:szCs w:val="22"/>
          <w:rtl/>
        </w:rPr>
        <w:t xml:space="preserve">حدود الميزانية المعتمدة هي سقف ثابت لا يجوز تجاوزه (firm not-to-exceed ceiling) مذكور في الصفحة 1.</w:t>
      </w:r>
      <w:r>
        <w:rPr>
          <w:rFonts w:ascii="Arial" w:cs="Arial" w:eastAsia="Arial" w:hAnsi="Arial"/>
          <w:sz w:val="22"/>
          <w:szCs w:val="22"/>
          <w:rtl/>
        </w:rPr>
        <w:t xml:space="preserve"> وأي عرض تتجاوز تكلفته الإجمالية المقترحة السقف المذكور في الصفحة 1 سيُعد غير مستجيب ويُرفض، بغض النظر عن جدارته الفنية. ولن يتم تطبيع العرض الذي يتجاوز السقف أو التفاوض على خفضه أو قبوله جزئيًا لإدخاله ضمن الحدود كشرط للترسية؛ ومقدّمو العروض مسؤولون عن تقديم حل كامل وعامل ضمن السقف. ويجب تسعير أي بنود اختيارية أو إضافية أو خاصة بقابلية التوسع للمرحلة 2 بشكل منفصل واستبعادها من الإجمالي الأساسي الذي يُختبر مقابل السقف، ولا يجوز استخدامها لإدخال الحل الأساسي ضمن الحدود.</w:t>
      </w:r>
    </w:p>
    <w:p>
      <w:pPr>
        <w:pStyle w:val="ListParagraph"/>
        <w:numPr>
          <w:ilvl w:val="0"/>
          <w:numId w:val="2"/>
        </w:numPr>
        <w:bidi/>
        <w:spacing w:after="60" w:line="290"/>
        <w:jc w:val="start"/>
      </w:pPr>
      <w:r>
        <w:rPr>
          <w:rFonts w:ascii="Arial" w:cs="Arial" w:eastAsia="Arial" w:hAnsi="Arial"/>
          <w:sz w:val="22"/>
          <w:szCs w:val="22"/>
          <w:rtl/>
        </w:rPr>
        <w:t xml:space="preserve">سيوازن تحديد أفضل قيمة بين نقاط القوة والضعف الفنية لكل مقدّم عرض مؤهل فنيًا، ومخاطر التنفيذ والتطبيق، ونتائج المراجع، ومعقولية تكلفته المقترحة.</w:t>
      </w:r>
    </w:p>
    <w:p>
      <w:pPr>
        <w:pStyle w:val="ListParagraph"/>
        <w:numPr>
          <w:ilvl w:val="0"/>
          <w:numId w:val="2"/>
        </w:numPr>
        <w:bidi/>
        <w:spacing w:after="60" w:line="290"/>
        <w:jc w:val="start"/>
      </w:pPr>
      <w:r>
        <w:rPr>
          <w:rFonts w:ascii="Arial" w:cs="Arial" w:eastAsia="Arial" w:hAnsi="Arial"/>
          <w:sz w:val="22"/>
          <w:szCs w:val="22"/>
          <w:rtl/>
        </w:rPr>
        <w:t xml:space="preserve">تخضع الترسية لنجاح التفاوض على الشروط والأحكام النهائية ولأي موافقات وتصاريح مطلوبة. ولا يجوز البدء بأي نشاط توريد أو شحن أو تركيب أو تهيئة أو تشغيل تجريبي حتى تُستكمل مراجعة التصميم المطلوبة وأي موافقات معمول بها.</w:t>
      </w:r>
    </w:p>
    <w:p>
      <w:pPr>
        <w:pStyle w:val="Heading3"/>
        <w:keepNext/>
        <w:bidi/>
        <w:spacing w:after="80" w:before="160"/>
        <w:jc w:val="start"/>
      </w:pPr>
      <w:r>
        <w:rPr>
          <w:rFonts w:ascii="Arial" w:cs="Arial" w:eastAsia="Arial" w:hAnsi="Arial"/>
          <w:b/>
          <w:bCs/>
          <w:color w:val="404040"/>
          <w:sz w:val="23"/>
          <w:szCs w:val="23"/>
          <w:rtl/>
        </w:rPr>
        <w:t xml:space="preserve">5.1 أسلوب تحليل المفاضلة (Trade-off analysis method)</w:t>
      </w:r>
    </w:p>
    <w:p>
      <w:pPr>
        <w:bidi/>
        <w:spacing w:after="100" w:before="0" w:line="300"/>
        <w:jc w:val="start"/>
      </w:pPr>
      <w:r>
        <w:rPr>
          <w:rFonts w:ascii="Arial" w:cs="Arial" w:eastAsia="Arial" w:hAnsi="Arial"/>
          <w:sz w:val="22"/>
          <w:szCs w:val="22"/>
          <w:rtl/>
        </w:rPr>
        <w:t xml:space="preserve">لا تُحسب أفضل قيمة بمعادلة. وبالنسبة لكل مقدّم عرض مؤهل فنيًا، توثّق اللجنة المقارنة التالية قبل الاختيار:</w:t>
      </w:r>
    </w:p>
    <w:p>
      <w:pPr>
        <w:pStyle w:val="ListParagraph"/>
        <w:numPr>
          <w:ilvl w:val="0"/>
          <w:numId w:val="2"/>
        </w:numPr>
        <w:bidi/>
        <w:spacing w:after="60" w:line="290"/>
        <w:jc w:val="start"/>
      </w:pPr>
      <w:r>
        <w:rPr>
          <w:rFonts w:ascii="Arial" w:cs="Arial" w:eastAsia="Arial" w:hAnsi="Arial"/>
          <w:sz w:val="22"/>
          <w:szCs w:val="22"/>
          <w:rtl/>
        </w:rPr>
        <w:t xml:space="preserve">ترتيب مقدّمي العروض حسب الدرجة الفنية بالتوافق مع تسجيل نقاط القوة والضعف والمخاطر الرئيسية لكل منهم.</w:t>
      </w:r>
    </w:p>
    <w:p>
      <w:pPr>
        <w:pStyle w:val="ListParagraph"/>
        <w:numPr>
          <w:ilvl w:val="0"/>
          <w:numId w:val="2"/>
        </w:numPr>
        <w:bidi/>
        <w:spacing w:after="60" w:line="290"/>
        <w:jc w:val="start"/>
      </w:pPr>
      <w:r>
        <w:rPr>
          <w:rFonts w:ascii="Arial" w:cs="Arial" w:eastAsia="Arial" w:hAnsi="Arial"/>
          <w:sz w:val="22"/>
          <w:szCs w:val="22"/>
          <w:rtl/>
        </w:rPr>
        <w:t xml:space="preserve">مراجعة تكلفة كل مقدّم عرض من حيث المعقولية والاتساق مع عرضه الفني؛ وتقييم القدرة المالية.</w:t>
      </w:r>
    </w:p>
    <w:p>
      <w:pPr>
        <w:pStyle w:val="ListParagraph"/>
        <w:numPr>
          <w:ilvl w:val="0"/>
          <w:numId w:val="2"/>
        </w:numPr>
        <w:bidi/>
        <w:spacing w:after="60" w:line="290"/>
        <w:jc w:val="start"/>
      </w:pPr>
      <w:r>
        <w:rPr>
          <w:rFonts w:ascii="Arial" w:cs="Arial" w:eastAsia="Arial" w:hAnsi="Arial"/>
          <w:sz w:val="22"/>
          <w:szCs w:val="22"/>
          <w:rtl/>
        </w:rPr>
        <w:t xml:space="preserve">مقارنة المزايا الفنية بفروق التكلفة: هل تبرر الدرجة الفنية الأعلى سعرًا أعلى، أم أن السعر الأدنى يأتي مع مخاطر مقبولة.</w:t>
      </w:r>
    </w:p>
    <w:p>
      <w:pPr>
        <w:pStyle w:val="ListParagraph"/>
        <w:numPr>
          <w:ilvl w:val="0"/>
          <w:numId w:val="2"/>
        </w:numPr>
        <w:bidi/>
        <w:spacing w:after="60" w:line="290"/>
        <w:jc w:val="start"/>
      </w:pPr>
      <w:r>
        <w:rPr>
          <w:rFonts w:ascii="Arial" w:cs="Arial" w:eastAsia="Arial" w:hAnsi="Arial"/>
          <w:sz w:val="22"/>
          <w:szCs w:val="22"/>
          <w:rtl/>
        </w:rPr>
        <w:t xml:space="preserve">تسجيل مبررات اختيار المقدّم في مذكرة الاختيار، سواء كان العرض الأعلى درجة أم الأقل تكلفة أم لا.</w:t>
      </w:r>
    </w:p>
    <w:p>
      <w:pPr>
        <w:bidi/>
        <w:spacing w:after="100" w:before="100" w:line="300"/>
        <w:jc w:val="start"/>
      </w:pPr>
      <w:r>
        <w:rPr>
          <w:rFonts w:ascii="Arial" w:cs="Arial" w:eastAsia="Arial" w:hAnsi="Arial"/>
          <w:sz w:val="22"/>
          <w:szCs w:val="22"/>
          <w:rtl/>
        </w:rPr>
        <w:t xml:space="preserve">إذا قدّم مقدّم العرض عرضًا لا يستجيب لغالبية المعلومات المطلوبة في هذا الـ RFP، كما هو محدد في بيان الأعمال ومعايير التقييم، فسيُستبعد عرضه تلقائيًا.</w:t>
      </w:r>
    </w:p>
    <w:p>
      <w:pPr>
        <w:bidi/>
        <w:spacing w:after="100" w:before="0" w:line="300"/>
        <w:jc w:val="start"/>
      </w:pPr>
      <w:r>
        <w:rPr>
          <w:rFonts w:ascii="Arial" w:cs="Arial" w:eastAsia="Arial" w:hAnsi="Arial"/>
          <w:sz w:val="22"/>
          <w:szCs w:val="22"/>
          <w:rtl/>
        </w:rPr>
        <w:t xml:space="preserve">تحتفظ Creative بالحق في طلب وثائق داعمة إضافية أو عرض منقّح من مقدّم العرض إذا لم تُقدَّم معلومات كافية في عرضه الفني و/أو المالي. وإذا لم تُقدَّم المعلومات المطلوبة، فلـ Creative الحق في استبعاد الشركة من مزيد من النظر.</w:t>
      </w:r>
    </w:p>
    <w:p>
      <w:pPr>
        <w:pStyle w:val="Heading3"/>
        <w:keepNext/>
        <w:bidi/>
        <w:spacing w:after="80" w:before="160"/>
        <w:jc w:val="start"/>
      </w:pPr>
      <w:r>
        <w:rPr>
          <w:rFonts w:ascii="Arial" w:cs="Arial" w:eastAsia="Arial" w:hAnsi="Arial"/>
          <w:b/>
          <w:bCs/>
          <w:color w:val="404040"/>
          <w:sz w:val="23"/>
          <w:szCs w:val="23"/>
          <w:rtl/>
        </w:rPr>
        <w:t xml:space="preserve">فتح العروض وتمديد فترة المناقصة (Proposal Opening and Extension of the Solicitation Period)</w:t>
      </w:r>
    </w:p>
    <w:p>
      <w:pPr>
        <w:pStyle w:val="ListParagraph"/>
        <w:numPr>
          <w:ilvl w:val="0"/>
          <w:numId w:val="2"/>
        </w:numPr>
        <w:bidi/>
        <w:spacing w:after="60" w:line="290"/>
        <w:jc w:val="start"/>
      </w:pPr>
      <w:r>
        <w:rPr>
          <w:rFonts w:ascii="Arial" w:cs="Arial" w:eastAsia="Arial" w:hAnsi="Arial"/>
          <w:b/>
          <w:bCs/>
          <w:sz w:val="22"/>
          <w:szCs w:val="22"/>
          <w:rtl/>
        </w:rPr>
        <w:t xml:space="preserve">شرط التقييم الفني:</w:t>
      </w:r>
      <w:r>
        <w:rPr>
          <w:rFonts w:ascii="Arial" w:cs="Arial" w:eastAsia="Arial" w:hAnsi="Arial"/>
          <w:sz w:val="22"/>
          <w:szCs w:val="22"/>
          <w:rtl/>
        </w:rPr>
        <w:t xml:space="preserve"> يبدأ التقييم الفني عند استلام عرضين أو أكثر بحلول موعد التقديم. ولا ينتقل إلى مرحلة فتح العروض المالية/التجارية وتقييمها سوى مقدّمي العروض المستوفين للحد الأدنى للتأهيل الفني.</w:t>
      </w:r>
    </w:p>
    <w:p>
      <w:pPr>
        <w:pStyle w:val="ListParagraph"/>
        <w:numPr>
          <w:ilvl w:val="0"/>
          <w:numId w:val="2"/>
        </w:numPr>
        <w:bidi/>
        <w:spacing w:after="60" w:line="290"/>
        <w:jc w:val="start"/>
      </w:pPr>
      <w:r>
        <w:rPr>
          <w:rFonts w:ascii="Arial" w:cs="Arial" w:eastAsia="Arial" w:hAnsi="Arial"/>
          <w:b/>
          <w:bCs/>
          <w:sz w:val="22"/>
          <w:szCs w:val="22"/>
          <w:rtl/>
        </w:rPr>
        <w:t xml:space="preserve">شرط التقييم المالي:</w:t>
      </w:r>
      <w:r>
        <w:rPr>
          <w:rFonts w:ascii="Arial" w:cs="Arial" w:eastAsia="Arial" w:hAnsi="Arial"/>
          <w:sz w:val="22"/>
          <w:szCs w:val="22"/>
          <w:rtl/>
        </w:rPr>
        <w:t xml:space="preserve"> يبدأ التقييم المالي عندما ينجح عرضان (2) أو أكثر في التقييم الفني بتحقيق درجة دنيا قدرها 70 من 100. وإذا استوفى مقدّم عرض واحد (1) فقط أو تجاوز الحد الأدنى للتأهيل الفني، فلن يُفتح عرضه المالي/التجاري ولن يُقيَّم، ولن تنتقل عملية الشراء إلى مرحلة التقييم المالي.</w:t>
      </w:r>
    </w:p>
    <w:p>
      <w:pPr>
        <w:pStyle w:val="ListParagraph"/>
        <w:numPr>
          <w:ilvl w:val="0"/>
          <w:numId w:val="2"/>
        </w:numPr>
        <w:bidi/>
        <w:spacing w:after="60" w:line="290"/>
        <w:jc w:val="start"/>
      </w:pPr>
      <w:r>
        <w:rPr>
          <w:rFonts w:ascii="Arial" w:cs="Arial" w:eastAsia="Arial" w:hAnsi="Arial"/>
          <w:sz w:val="22"/>
          <w:szCs w:val="22"/>
          <w:rtl/>
        </w:rPr>
        <w:t xml:space="preserve">إذا أخفق التقييم الفني و/أو المالي، يجوز تمديد المناقصة لمدة أسبوعين (2) إضافيين، وسيُعاد تفعيل حكم خطاب الاهتمام (LOI) لتشجيع مشاركة مزيد من مقدّمي العروض المؤهلين.</w:t>
      </w:r>
    </w:p>
    <w:p>
      <w:pPr>
        <w:pStyle w:val="ListParagraph"/>
        <w:numPr>
          <w:ilvl w:val="0"/>
          <w:numId w:val="2"/>
        </w:numPr>
        <w:bidi/>
        <w:spacing w:after="60" w:line="290"/>
        <w:jc w:val="start"/>
      </w:pPr>
      <w:r>
        <w:rPr>
          <w:rFonts w:ascii="Arial" w:cs="Arial" w:eastAsia="Arial" w:hAnsi="Arial"/>
          <w:sz w:val="22"/>
          <w:szCs w:val="22"/>
          <w:rtl/>
        </w:rPr>
        <w:t xml:space="preserve">بعد أي فترة تمديد، سيُدعى أي مقدّمي عروض جدد أو مقدّمو عروض أخفقوا في الجولة الأولى لحضور زيارة ميدانية وجلسة Q&amp;A مجدولتين، حيث تتاح لهم فرصة مراجعة المتطلبات وطرح أي أسئلة فنية أو إدارية أو قانونية قبل تقديم عروضهم.</w:t>
      </w:r>
    </w:p>
    <w:p>
      <w:pPr>
        <w:pStyle w:val="ListParagraph"/>
        <w:numPr>
          <w:ilvl w:val="0"/>
          <w:numId w:val="2"/>
        </w:numPr>
        <w:bidi/>
        <w:spacing w:after="60" w:line="290"/>
        <w:jc w:val="start"/>
      </w:pPr>
      <w:r>
        <w:rPr>
          <w:rFonts w:ascii="Arial" w:cs="Arial" w:eastAsia="Arial" w:hAnsi="Arial"/>
          <w:sz w:val="22"/>
          <w:szCs w:val="22"/>
          <w:rtl/>
        </w:rPr>
        <w:t xml:space="preserve">سيخضع جميع مقدّمي العروض المشاركين خلال فترة التمديد للمتطلبات نفسها ومنهجية التقييم والمواعيد النهائية والشروط والأحكام المنصوص عليها في الـ RFP، وفق ما قد تعدله أو توضحه الجهة المصدِرة رسميًا.</w:t>
      </w:r>
    </w:p>
    <w:p>
      <w:pPr>
        <w:pStyle w:val="ListParagraph"/>
        <w:numPr>
          <w:ilvl w:val="0"/>
          <w:numId w:val="2"/>
        </w:numPr>
        <w:bidi/>
        <w:spacing w:after="60" w:line="290"/>
        <w:jc w:val="start"/>
      </w:pPr>
      <w:r>
        <w:rPr>
          <w:rFonts w:ascii="Arial" w:cs="Arial" w:eastAsia="Arial" w:hAnsi="Arial"/>
          <w:sz w:val="22"/>
          <w:szCs w:val="22"/>
          <w:rtl/>
        </w:rPr>
        <w:t xml:space="preserve">تحتفظ Creative بالحق في تمديد عملية المناقصة أو إلغائها أو تعديلها أو تغييرها بأي شكل آخر حسب الضرورة، وفق سياسات المشتريات المعمول بها والموافقات المطلوبة وبالتنسيق الوثيق مع MOLAE.</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IV: خطاب تغطية العرض (Proposal Cover Letter)</w:t>
      </w:r>
    </w:p>
    <w:p>
      <w:pPr>
        <w:bidi/>
        <w:spacing w:after="100" w:before="0" w:line="300"/>
        <w:jc w:val="start"/>
      </w:pPr>
      <w:r>
        <w:rPr>
          <w:rFonts w:ascii="Arial" w:cs="Arial" w:eastAsia="Arial" w:hAnsi="Arial"/>
          <w:sz w:val="22"/>
          <w:szCs w:val="22"/>
          <w:rtl/>
        </w:rPr>
        <w:t xml:space="preserve">نموذج خطاب تغطية العرض – يُطبع على الورق الرسمي للمنظمة (organizational letterhead)</w:t>
      </w:r>
    </w:p>
    <w:p>
      <w:pPr>
        <w:bidi/>
        <w:spacing w:after="100" w:before="0" w:line="300"/>
        <w:jc w:val="start"/>
      </w:pPr>
      <w:r>
        <w:rPr>
          <w:rFonts w:ascii="Arial" w:cs="Arial" w:eastAsia="Arial" w:hAnsi="Arial"/>
          <w:sz w:val="22"/>
          <w:szCs w:val="22"/>
          <w:rtl/>
        </w:rPr>
        <w:t xml:space="preserve">المدينة، الدولة</w:t>
      </w:r>
    </w:p>
    <w:p>
      <w:pPr>
        <w:bidi/>
        <w:spacing w:after="100" w:before="0" w:line="300"/>
        <w:jc w:val="start"/>
      </w:pPr>
      <w:r>
        <w:rPr>
          <w:rFonts w:ascii="Arial" w:cs="Arial" w:eastAsia="Arial" w:hAnsi="Arial"/>
          <w:sz w:val="22"/>
          <w:szCs w:val="22"/>
          <w:rtl/>
        </w:rPr>
        <w:t xml:space="preserve">&lt;التاريخ&gt;</w:t>
      </w:r>
    </w:p>
    <w:p>
      <w:pPr>
        <w:bidi/>
        <w:spacing w:after="100" w:before="0" w:line="300"/>
        <w:jc w:val="start"/>
      </w:pPr>
      <w:r>
        <w:rPr>
          <w:rFonts w:ascii="Arial" w:cs="Arial" w:eastAsia="Arial" w:hAnsi="Arial"/>
          <w:sz w:val="22"/>
          <w:szCs w:val="22"/>
          <w:rtl/>
        </w:rPr>
        <w:t xml:space="preserve">إلى: Creative Associates, International (Creative)</w:t>
      </w:r>
    </w:p>
    <w:p>
      <w:pPr>
        <w:bidi/>
        <w:spacing w:after="100" w:before="0" w:line="300"/>
        <w:jc w:val="start"/>
      </w:pPr>
      <w:r>
        <w:rPr>
          <w:rFonts w:ascii="Arial" w:cs="Arial" w:eastAsia="Arial" w:hAnsi="Arial"/>
          <w:sz w:val="22"/>
          <w:szCs w:val="22"/>
          <w:rtl/>
        </w:rPr>
        <w:t xml:space="preserve">عناية: فريق المشتريات (Procurement Team)</w:t>
      </w:r>
    </w:p>
    <w:p>
      <w:pPr>
        <w:bidi/>
        <w:spacing w:after="100" w:before="0" w:line="300"/>
        <w:jc w:val="start"/>
      </w:pPr>
      <w:r>
        <w:rPr>
          <w:rFonts w:ascii="Arial" w:cs="Arial" w:eastAsia="Arial" w:hAnsi="Arial"/>
          <w:sz w:val="22"/>
          <w:szCs w:val="22"/>
          <w:rtl/>
        </w:rPr>
        <w:t xml:space="preserve">السيد/السيدة المحترم/ة،</w:t>
      </w:r>
    </w:p>
    <w:p>
      <w:pPr>
        <w:bidi/>
        <w:spacing w:after="100" w:before="0" w:line="300"/>
        <w:jc w:val="start"/>
      </w:pPr>
      <w:r>
        <w:rPr>
          <w:rFonts w:ascii="Arial" w:cs="Arial" w:eastAsia="Arial" w:hAnsi="Arial"/>
          <w:sz w:val="22"/>
          <w:szCs w:val="22"/>
          <w:rtl/>
        </w:rPr>
        <w:t xml:space="preserve">نحن الموقّعين أدناه نعرض تنفيذ [RFP-FURAT-III-003-2026]، [FURAT III]، وفقًا لطلب تقديم العروض الصادر عن Creative بتاريخ [08/10/2026] ولعرضنا الفني والمالي/التجاري المقدَّم طيّه.</w:t>
      </w:r>
    </w:p>
    <w:p>
      <w:pPr>
        <w:bidi/>
        <w:spacing w:after="100" w:before="0" w:line="300"/>
        <w:jc w:val="start"/>
      </w:pPr>
      <w:r>
        <w:rPr>
          <w:rFonts w:ascii="Arial" w:cs="Arial" w:eastAsia="Arial" w:hAnsi="Arial"/>
          <w:sz w:val="22"/>
          <w:szCs w:val="22"/>
          <w:rtl/>
        </w:rPr>
        <w:t xml:space="preserve">تفاصيل منظمتنا هي كما يلي:</w:t>
      </w:r>
    </w:p>
    <w:p>
      <w:pPr>
        <w:pStyle w:val="ListParagraph"/>
        <w:numPr>
          <w:ilvl w:val="0"/>
          <w:numId w:val="6"/>
        </w:numPr>
        <w:bidi/>
        <w:spacing w:after="60" w:line="290"/>
        <w:jc w:val="start"/>
      </w:pPr>
      <w:r>
        <w:rPr>
          <w:rFonts w:ascii="Arial" w:cs="Arial" w:eastAsia="Arial" w:hAnsi="Arial"/>
          <w:sz w:val="22"/>
          <w:szCs w:val="22"/>
          <w:rtl/>
        </w:rPr>
        <w:t xml:space="preserve">اسم الشركة</w:t>
      </w:r>
    </w:p>
    <w:p>
      <w:pPr>
        <w:pStyle w:val="ListParagraph"/>
        <w:numPr>
          <w:ilvl w:val="0"/>
          <w:numId w:val="6"/>
        </w:numPr>
        <w:bidi/>
        <w:spacing w:after="60" w:line="290"/>
        <w:jc w:val="start"/>
      </w:pPr>
      <w:r>
        <w:rPr>
          <w:rFonts w:ascii="Arial" w:cs="Arial" w:eastAsia="Arial" w:hAnsi="Arial"/>
          <w:sz w:val="22"/>
          <w:szCs w:val="22"/>
          <w:rtl/>
        </w:rPr>
        <w:t xml:space="preserve">عنوان الشركة</w:t>
      </w:r>
    </w:p>
    <w:p>
      <w:pPr>
        <w:pStyle w:val="ListParagraph"/>
        <w:numPr>
          <w:ilvl w:val="0"/>
          <w:numId w:val="6"/>
        </w:numPr>
        <w:bidi/>
        <w:spacing w:after="60" w:line="290"/>
        <w:jc w:val="start"/>
      </w:pPr>
      <w:r>
        <w:rPr>
          <w:rFonts w:ascii="Arial" w:cs="Arial" w:eastAsia="Arial" w:hAnsi="Arial"/>
          <w:sz w:val="22"/>
          <w:szCs w:val="22"/>
          <w:rtl/>
        </w:rPr>
        <w:t xml:space="preserve">اسم الممثل المفوّض للشركة:</w:t>
      </w:r>
    </w:p>
    <w:p>
      <w:pPr>
        <w:pStyle w:val="ListParagraph"/>
        <w:numPr>
          <w:ilvl w:val="0"/>
          <w:numId w:val="6"/>
        </w:numPr>
        <w:bidi/>
        <w:spacing w:after="60" w:line="290"/>
        <w:jc w:val="start"/>
      </w:pPr>
      <w:r>
        <w:rPr>
          <w:rFonts w:ascii="Arial" w:cs="Arial" w:eastAsia="Arial" w:hAnsi="Arial"/>
          <w:sz w:val="22"/>
          <w:szCs w:val="22"/>
          <w:rtl/>
        </w:rPr>
        <w:t xml:space="preserve">رقم الهاتف/الجوال، والبريد الإلكتروني:</w:t>
      </w:r>
    </w:p>
    <w:p>
      <w:pPr>
        <w:pStyle w:val="ListParagraph"/>
        <w:numPr>
          <w:ilvl w:val="0"/>
          <w:numId w:val="6"/>
        </w:numPr>
        <w:bidi/>
        <w:spacing w:after="60" w:line="290"/>
        <w:jc w:val="start"/>
      </w:pPr>
      <w:r>
        <w:rPr>
          <w:rFonts w:ascii="Arial" w:cs="Arial" w:eastAsia="Arial" w:hAnsi="Arial"/>
          <w:sz w:val="22"/>
          <w:szCs w:val="22"/>
          <w:rtl/>
        </w:rPr>
        <w:t xml:space="preserve">مدة سريان العرض (Validity Period of Proposal)</w:t>
      </w:r>
    </w:p>
    <w:p>
      <w:pPr>
        <w:pStyle w:val="ListParagraph"/>
        <w:numPr>
          <w:ilvl w:val="0"/>
          <w:numId w:val="6"/>
        </w:numPr>
        <w:bidi/>
        <w:spacing w:after="60" w:line="290"/>
        <w:jc w:val="start"/>
      </w:pPr>
      <w:r>
        <w:rPr>
          <w:rFonts w:ascii="Arial" w:cs="Arial" w:eastAsia="Arial" w:hAnsi="Arial"/>
          <w:sz w:val="22"/>
          <w:szCs w:val="22"/>
          <w:rtl/>
        </w:rPr>
        <w:t xml:space="preserve">رخصة عمل سارية (A valid Business License)</w:t>
      </w:r>
    </w:p>
    <w:p>
      <w:pPr>
        <w:bidi/>
        <w:spacing w:after="100" w:before="100" w:line="300"/>
        <w:jc w:val="start"/>
      </w:pPr>
      <w:r>
        <w:rPr>
          <w:rFonts w:ascii="Arial" w:cs="Arial" w:eastAsia="Arial" w:hAnsi="Arial"/>
          <w:sz w:val="22"/>
          <w:szCs w:val="22"/>
          <w:rtl/>
        </w:rPr>
        <w:t xml:space="preserve">يكون عرضنا ملزمًا لنا، مع مراعاة أي تعديلات ناتجة عن التفاوض، حتى انتهاء مدة سريان العرض. ونحن نفهم أن Creative غير ملزمة بقبول هذا العرض أو أي عرض آخر وارد إليها.</w:t>
      </w:r>
    </w:p>
    <w:p>
      <w:pPr>
        <w:bidi/>
        <w:spacing w:after="100" w:before="0" w:line="300"/>
        <w:jc w:val="start"/>
      </w:pPr>
      <w:r>
        <w:rPr>
          <w:rFonts w:ascii="Arial" w:cs="Arial" w:eastAsia="Arial" w:hAnsi="Arial"/>
          <w:sz w:val="22"/>
          <w:szCs w:val="22"/>
          <w:rtl/>
        </w:rPr>
        <w:t xml:space="preserve">ونشهد أيضًا بأن منظمتنا:</w:t>
      </w:r>
    </w:p>
    <w:p>
      <w:pPr>
        <w:pStyle w:val="ListParagraph"/>
        <w:numPr>
          <w:ilvl w:val="0"/>
          <w:numId w:val="2"/>
        </w:numPr>
        <w:bidi/>
        <w:spacing w:after="60" w:line="290"/>
        <w:jc w:val="start"/>
      </w:pPr>
      <w:r>
        <w:rPr>
          <w:rFonts w:ascii="Arial" w:cs="Arial" w:eastAsia="Arial" w:hAnsi="Arial"/>
          <w:sz w:val="22"/>
          <w:szCs w:val="22"/>
          <w:rtl/>
        </w:rPr>
        <w:t xml:space="preserve">(a) لديها موارد مالية كافية بما في ذلك تغطية تأمينية مناسبة لتنفيذ العمل المذكور هنا، أو القدرة على الحصول عليها دون تأخير؛</w:t>
      </w:r>
    </w:p>
    <w:p>
      <w:pPr>
        <w:pStyle w:val="ListParagraph"/>
        <w:numPr>
          <w:ilvl w:val="0"/>
          <w:numId w:val="2"/>
        </w:numPr>
        <w:bidi/>
        <w:spacing w:after="60" w:line="290"/>
        <w:jc w:val="start"/>
      </w:pPr>
      <w:r>
        <w:rPr>
          <w:rFonts w:ascii="Arial" w:cs="Arial" w:eastAsia="Arial" w:hAnsi="Arial"/>
          <w:sz w:val="22"/>
          <w:szCs w:val="22"/>
          <w:rtl/>
        </w:rPr>
        <w:t xml:space="preserve">(b) قادرة على الالتزام بجدول التسليم أو التنفيذ الموصوف، مع مراعاة جميع الالتزامات والقيود القائمة؛</w:t>
      </w:r>
    </w:p>
    <w:p>
      <w:pPr>
        <w:pStyle w:val="ListParagraph"/>
        <w:numPr>
          <w:ilvl w:val="0"/>
          <w:numId w:val="2"/>
        </w:numPr>
        <w:bidi/>
        <w:spacing w:after="60" w:line="290"/>
        <w:jc w:val="start"/>
      </w:pPr>
      <w:r>
        <w:rPr>
          <w:rFonts w:ascii="Arial" w:cs="Arial" w:eastAsia="Arial" w:hAnsi="Arial"/>
          <w:sz w:val="22"/>
          <w:szCs w:val="22"/>
          <w:rtl/>
        </w:rPr>
        <w:t xml:space="preserve">(c) لديها سجل أداء مُرضٍ؛</w:t>
      </w:r>
    </w:p>
    <w:p>
      <w:pPr>
        <w:pStyle w:val="ListParagraph"/>
        <w:numPr>
          <w:ilvl w:val="0"/>
          <w:numId w:val="2"/>
        </w:numPr>
        <w:bidi/>
        <w:spacing w:after="60" w:line="290"/>
        <w:jc w:val="start"/>
      </w:pPr>
      <w:r>
        <w:rPr>
          <w:rFonts w:ascii="Arial" w:cs="Arial" w:eastAsia="Arial" w:hAnsi="Arial"/>
          <w:sz w:val="22"/>
          <w:szCs w:val="22"/>
          <w:rtl/>
        </w:rPr>
        <w:t xml:space="preserve">(d) لديها سجل نزاهة وأخلاقيات أعمال مُرضٍ؛</w:t>
      </w:r>
    </w:p>
    <w:p>
      <w:pPr>
        <w:pStyle w:val="ListParagraph"/>
        <w:numPr>
          <w:ilvl w:val="0"/>
          <w:numId w:val="2"/>
        </w:numPr>
        <w:bidi/>
        <w:spacing w:after="60" w:line="290"/>
        <w:jc w:val="start"/>
      </w:pPr>
      <w:r>
        <w:rPr>
          <w:rFonts w:ascii="Arial" w:cs="Arial" w:eastAsia="Arial" w:hAnsi="Arial"/>
          <w:sz w:val="22"/>
          <w:szCs w:val="22"/>
          <w:rtl/>
        </w:rPr>
        <w:t xml:space="preserve">(e) لديها القدرة الفنية والمعدات والمرافق اللازمة، أو القدرة على الحصول عليها؛</w:t>
      </w:r>
    </w:p>
    <w:p>
      <w:pPr>
        <w:pStyle w:val="ListParagraph"/>
        <w:numPr>
          <w:ilvl w:val="0"/>
          <w:numId w:val="2"/>
        </w:numPr>
        <w:bidi/>
        <w:spacing w:after="60" w:line="290"/>
        <w:jc w:val="start"/>
      </w:pPr>
      <w:r>
        <w:rPr>
          <w:rFonts w:ascii="Arial" w:cs="Arial" w:eastAsia="Arial" w:hAnsi="Arial"/>
          <w:sz w:val="22"/>
          <w:szCs w:val="22"/>
          <w:rtl/>
        </w:rPr>
        <w:t xml:space="preserve">(f) مؤهلة ومستوفية للشروط بخلاف ذلك لتلقي ترسية بموجب القوانين والأنظمة المعمول بها.</w:t>
      </w:r>
    </w:p>
    <w:p>
      <w:pPr>
        <w:bidi/>
        <w:spacing w:after="100" w:before="100" w:line="300"/>
        <w:jc w:val="start"/>
      </w:pPr>
      <w:r>
        <w:rPr>
          <w:rFonts w:ascii="Arial" w:cs="Arial" w:eastAsia="Arial" w:hAnsi="Arial"/>
          <w:sz w:val="22"/>
          <w:szCs w:val="22"/>
          <w:rtl/>
        </w:rPr>
        <w:t xml:space="preserve">وتفضلوا بقبول فائق الاحترام،</w:t>
      </w:r>
    </w:p>
    <w:p>
      <w:pPr>
        <w:bidi/>
        <w:spacing w:after="100" w:before="0" w:line="300"/>
        <w:jc w:val="start"/>
      </w:pPr>
      <w:r>
        <w:rPr>
          <w:rFonts w:ascii="Arial" w:cs="Arial" w:eastAsia="Arial" w:hAnsi="Arial"/>
          <w:sz w:val="22"/>
          <w:szCs w:val="22"/>
          <w:rtl/>
        </w:rPr>
        <w:t xml:space="preserve">التوقيع المفوَّض (Authorized Signature):</w:t>
      </w:r>
    </w:p>
    <w:p>
      <w:pPr>
        <w:bidi/>
        <w:spacing w:after="100" w:before="0" w:line="300"/>
        <w:jc w:val="start"/>
      </w:pPr>
      <w:r>
        <w:rPr>
          <w:rFonts w:ascii="Arial" w:cs="Arial" w:eastAsia="Arial" w:hAnsi="Arial"/>
          <w:sz w:val="22"/>
          <w:szCs w:val="22"/>
          <w:rtl/>
        </w:rPr>
        <w:t xml:space="preserve">اسم وصفة الموقّع:</w:t>
      </w:r>
    </w:p>
    <w:p>
      <w:pPr>
        <w:bidi/>
        <w:spacing w:after="100" w:before="0" w:line="300"/>
        <w:jc w:val="start"/>
      </w:pPr>
      <w:r>
        <w:rPr>
          <w:rFonts w:ascii="Arial" w:cs="Arial" w:eastAsia="Arial" w:hAnsi="Arial"/>
          <w:sz w:val="22"/>
          <w:szCs w:val="22"/>
          <w:rtl/>
        </w:rPr>
        <w:t xml:space="preserve">التاريخ:</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V: شهادة الامتثال (Compliance Certification)</w:t>
      </w:r>
    </w:p>
    <w:p>
      <w:pPr>
        <w:bidi/>
        <w:spacing w:after="100" w:before="0" w:line="300"/>
        <w:jc w:val="start"/>
      </w:pPr>
      <w:r>
        <w:rPr>
          <w:rFonts w:ascii="Arial" w:cs="Arial" w:eastAsia="Arial" w:hAnsi="Arial"/>
          <w:sz w:val="22"/>
          <w:szCs w:val="22"/>
          <w:rtl/>
        </w:rPr>
        <w:t xml:space="preserve">كجزء من تقديم مقدّم العرض عرضًا صالحًا إلى Creative استجابةً لهذا الـ RFP، يقرّ مقدّم العرض بما يلي:</w:t>
      </w:r>
    </w:p>
    <w:p>
      <w:pPr>
        <w:pStyle w:val="Heading3"/>
        <w:keepNext/>
        <w:bidi/>
        <w:spacing w:after="80" w:before="160"/>
        <w:jc w:val="start"/>
      </w:pPr>
      <w:r>
        <w:rPr>
          <w:rFonts w:ascii="Arial" w:cs="Arial" w:eastAsia="Arial" w:hAnsi="Arial"/>
          <w:b/>
          <w:bCs/>
          <w:color w:val="404040"/>
          <w:sz w:val="23"/>
          <w:szCs w:val="23"/>
          <w:rtl/>
        </w:rPr>
        <w:t xml:space="preserve">1. مدونة السلوك (Code of Conduct)</w:t>
      </w:r>
    </w:p>
    <w:p>
      <w:pPr>
        <w:bidi/>
        <w:spacing w:after="100" w:before="0" w:line="300"/>
        <w:jc w:val="start"/>
      </w:pPr>
      <w:r>
        <w:rPr>
          <w:rFonts w:ascii="Arial" w:cs="Arial" w:eastAsia="Arial" w:hAnsi="Arial"/>
          <w:sz w:val="22"/>
          <w:szCs w:val="22"/>
          <w:rtl/>
        </w:rPr>
        <w:t xml:space="preserve">يوافق مقدّم العرض على تنفيذ أي أمر شراء (Purchase Order) ناتج تصدره Creative بأسلوب مهني وأخلاقي ومراعٍ للثقافات كما هو موضح أكثر في مدونة سلوك الموردين (Supplier Code of Conduct) لدى Creative. ويجب إيلاء اهتمام خاص لـ حماية المبلّغين عن المخالفات (Whistleblower Protection) (ومسؤولية البائع عن الإبلاغ عن الاشتباه في الاحتيال والهدر وإساءة الاستخدام)، ومتطلبات حماية الطفل (Child Protection)، والتزام Creative بمكافحة الاتجار بالبشر (Combatting Human Trafficking).</w:t>
      </w:r>
    </w:p>
    <w:p>
      <w:pPr>
        <w:pStyle w:val="Heading3"/>
        <w:keepNext/>
        <w:bidi/>
        <w:spacing w:after="80" w:before="160"/>
        <w:jc w:val="start"/>
      </w:pPr>
      <w:r>
        <w:rPr>
          <w:rFonts w:ascii="Arial" w:cs="Arial" w:eastAsia="Arial" w:hAnsi="Arial"/>
          <w:b/>
          <w:bCs/>
          <w:color w:val="404040"/>
          <w:sz w:val="23"/>
          <w:szCs w:val="23"/>
          <w:rtl/>
        </w:rPr>
        <w:t xml:space="preserve">2. بيان بشأن قواعد المصدر والجنسية للسلع والخدمات الممولة من USAID</w:t>
      </w:r>
    </w:p>
    <w:p>
      <w:pPr>
        <w:bidi/>
        <w:spacing w:after="100" w:before="0" w:line="300"/>
        <w:jc w:val="start"/>
      </w:pPr>
      <w:r>
        <w:rPr>
          <w:rFonts w:ascii="Arial" w:cs="Arial" w:eastAsia="Arial" w:hAnsi="Arial"/>
          <w:sz w:val="22"/>
          <w:szCs w:val="22"/>
          <w:rtl/>
        </w:rPr>
        <w:t xml:space="preserve">لقد درس مقدّم العرض بدقة القسم 1.e من هذا الطلب (RFQ) الذي يتضمن "قواعد المصدر والجنسية للسلع والخدمات الممولة من USAID" (22CFR228)، وأن الشركة وجميع المكونات والسلع المعروضة في العرض استجابةً لهذا الطلب تستوفي جميع معايير أهلية المصدر والجنسية المطلوبة كما هو محدد بموجب القسم 1.6 من هذا الطلب.</w:t>
      </w:r>
    </w:p>
    <w:p>
      <w:pPr>
        <w:pStyle w:val="Heading3"/>
        <w:keepNext/>
        <w:bidi/>
        <w:spacing w:after="80" w:before="160"/>
        <w:jc w:val="start"/>
      </w:pPr>
      <w:r>
        <w:rPr>
          <w:rFonts w:ascii="Arial" w:cs="Arial" w:eastAsia="Arial" w:hAnsi="Arial"/>
          <w:b/>
          <w:bCs/>
          <w:color w:val="404040"/>
          <w:sz w:val="23"/>
          <w:szCs w:val="23"/>
          <w:rtl/>
        </w:rPr>
        <w:t xml:space="preserve">3. 52.204-24 إقرار بشأن خدمات أو معدات اتصالات ومراقبة بالفيديو معينة (أغسطس 2020)</w:t>
      </w:r>
    </w:p>
    <w:p>
      <w:pPr>
        <w:bidi/>
        <w:spacing w:after="100" w:before="0" w:line="300"/>
        <w:jc w:val="start"/>
      </w:pPr>
      <w:r>
        <w:rPr>
          <w:rFonts w:ascii="Arial" w:cs="Arial" w:eastAsia="Arial" w:hAnsi="Arial"/>
          <w:sz w:val="22"/>
          <w:szCs w:val="22"/>
          <w:rtl/>
        </w:rPr>
        <w:t xml:space="preserve">لا يكمل مقدّم العرض الإقرار الوارد في الفقرة (d)(1) من هذا الحكم إذا كان قد أقرّ بأنه "لا يقدّم معدات أو خدمات اتصالات مشمولة (covered telecommunications equipment or services) كجزء من منتجاته أو خدماته المعروضة على الحكومة أثناء تنفيذ أي عقد أو عقد من الباطن أو أي صك تعاقدي آخر" في الحكم 52.204-26، معدات أو خدمات الاتصالات المشمولة—الإقرار، أو في الفقرة (v) من الحكم 52.212-3، إقرارات وشهادات مقدّم العرض—البنود التجارية.</w:t>
      </w:r>
    </w:p>
    <w:p>
      <w:pPr>
        <w:bidi/>
        <w:spacing w:after="100" w:before="0" w:line="300"/>
        <w:jc w:val="start"/>
      </w:pPr>
      <w:r>
        <w:rPr>
          <w:rFonts w:ascii="Arial" w:cs="Arial" w:eastAsia="Arial" w:hAnsi="Arial"/>
          <w:b/>
          <w:bCs/>
          <w:sz w:val="22"/>
          <w:szCs w:val="22"/>
          <w:rtl/>
        </w:rPr>
        <w:t xml:space="preserve">(a) التعريفات.</w:t>
      </w:r>
      <w:r>
        <w:rPr>
          <w:rFonts w:ascii="Arial" w:cs="Arial" w:eastAsia="Arial" w:hAnsi="Arial"/>
          <w:sz w:val="22"/>
          <w:szCs w:val="22"/>
          <w:rtl/>
        </w:rPr>
        <w:t xml:space="preserve"> حسب استخدامها في هذا الحكم—تحمل المصطلحات: Backhaul، covered telecommunications equipment or services، critical technology، interconnection arrangements، reasonable inquiry، roaming، وsubstantial or essential component المعاني المقدَّمة في البند 52.204-25، حظر التعاقد على خدمات أو معدات اتصالات ومراقبة بالفيديو معينة.</w:t>
      </w:r>
    </w:p>
    <w:p>
      <w:pPr>
        <w:bidi/>
        <w:spacing w:after="100" w:before="0" w:line="300"/>
        <w:jc w:val="start"/>
      </w:pPr>
      <w:r>
        <w:rPr>
          <w:rFonts w:ascii="Arial" w:cs="Arial" w:eastAsia="Arial" w:hAnsi="Arial"/>
          <w:b/>
          <w:bCs/>
          <w:sz w:val="22"/>
          <w:szCs w:val="22"/>
          <w:rtl/>
        </w:rPr>
        <w:t xml:space="preserve">(b) الحظر.</w:t>
      </w:r>
    </w:p>
    <w:p>
      <w:pPr>
        <w:bidi/>
        <w:spacing w:after="100" w:before="0" w:line="300"/>
        <w:jc w:val="start"/>
      </w:pPr>
      <w:r>
        <w:rPr>
          <w:rFonts w:ascii="Arial" w:cs="Arial" w:eastAsia="Arial" w:hAnsi="Arial"/>
          <w:sz w:val="22"/>
          <w:szCs w:val="22"/>
          <w:rtl/>
        </w:rPr>
        <w:t xml:space="preserve">(1) يحظر القسم 889(a)(1)(A) من قانون تفويض الدفاع الوطني لعام 2019 (John S. McCain National Defense Authorization Act for Fiscal Year 2019) (Pub. L. 115-232) على رئيس أي وكالة تنفيذية، اعتبارًا من 13 أغسطس 2019، شراء أو الحصول على، أو تمديد أو تجديد عقد لشراء أو الحصول على، أي معدات أو نظام أو خدمة تستخدم معدات أو خدمات اتصالات مشمولة كمكوّن جوهري أو أساسي في أي نظام، أو كتقنية حرجة كجزء من أي نظام. ولا يجوز تفسير أي شيء في الحظر على أنه:</w:t>
      </w:r>
    </w:p>
    <w:p>
      <w:pPr>
        <w:pStyle w:val="ListParagraph"/>
        <w:numPr>
          <w:ilvl w:val="1"/>
          <w:numId w:val="2"/>
        </w:numPr>
        <w:bidi/>
        <w:spacing w:after="60" w:line="290"/>
        <w:jc w:val="start"/>
      </w:pPr>
      <w:r>
        <w:rPr>
          <w:rFonts w:ascii="Arial" w:cs="Arial" w:eastAsia="Arial" w:hAnsi="Arial"/>
          <w:sz w:val="22"/>
          <w:szCs w:val="22"/>
          <w:rtl/>
        </w:rPr>
        <w:t xml:space="preserve">(i) يحظر على رئيس وكالة تنفيذية التعاقد مع كيان لتقديم خدمة ترتبط بمرافق طرف ثالث، مثل ترتيبات backhaul أو roaming أو الربط البيني (interconnection)؛ أو</w:t>
      </w:r>
    </w:p>
    <w:p>
      <w:pPr>
        <w:pStyle w:val="ListParagraph"/>
        <w:numPr>
          <w:ilvl w:val="1"/>
          <w:numId w:val="2"/>
        </w:numPr>
        <w:bidi/>
        <w:spacing w:after="60" w:line="290"/>
        <w:jc w:val="start"/>
      </w:pPr>
      <w:r>
        <w:rPr>
          <w:rFonts w:ascii="Arial" w:cs="Arial" w:eastAsia="Arial" w:hAnsi="Arial"/>
          <w:sz w:val="22"/>
          <w:szCs w:val="22"/>
          <w:rtl/>
        </w:rPr>
        <w:t xml:space="preserve">(ii) يشمل معدات اتصالات لا تستطيع توجيه حركة بيانات المستخدم أو إعادة توجيهها أو لا تسمح بالاطلاع على أي بيانات أو حزم للمستخدم تنقلها هذه المعدات أو تعالجها بخلاف ذلك.</w:t>
      </w:r>
    </w:p>
    <w:p>
      <w:pPr>
        <w:bidi/>
        <w:spacing w:after="100" w:before="0" w:line="300"/>
        <w:jc w:val="start"/>
      </w:pPr>
      <w:r>
        <w:rPr>
          <w:rFonts w:ascii="Arial" w:cs="Arial" w:eastAsia="Arial" w:hAnsi="Arial"/>
          <w:sz w:val="22"/>
          <w:szCs w:val="22"/>
          <w:rtl/>
        </w:rPr>
        <w:t xml:space="preserve">(2) يحظر القسم 889(a)(1)(B) من القانون نفسه (Pub. L. 115-232) على رئيس أي وكالة تنفيذية، اعتبارًا من 13 أغسطس 2020، إبرام عقد أو تمديد أو تجديد عقد مع كيان يستخدم أي معدات أو نظام أو خدمة تستخدم معدات أو خدمات اتصالات مشمولة كمكوّن جوهري أو أساسي في أي نظام، أو كتقنية حرجة كجزء من أي نظام. وينطبق هذا الحظر على استخدام معدات أو خدمات الاتصالات المشمولة، بصرف النظر عما إذا كان هذا الاستخدام في تنفيذ عمل بموجب عقد فيدرالي. ولا يجوز تفسير أي شيء في الحظر على أنه:</w:t>
      </w:r>
    </w:p>
    <w:p>
      <w:pPr>
        <w:pStyle w:val="ListParagraph"/>
        <w:numPr>
          <w:ilvl w:val="1"/>
          <w:numId w:val="2"/>
        </w:numPr>
        <w:bidi/>
        <w:spacing w:after="60" w:line="290"/>
        <w:jc w:val="start"/>
      </w:pPr>
      <w:r>
        <w:rPr>
          <w:rFonts w:ascii="Arial" w:cs="Arial" w:eastAsia="Arial" w:hAnsi="Arial"/>
          <w:sz w:val="22"/>
          <w:szCs w:val="22"/>
          <w:rtl/>
        </w:rPr>
        <w:t xml:space="preserve">(i) يحظر على رئيس وكالة تنفيذية التعاقد مع كيان لتقديم خدمة ترتبط بمرافق طرف ثالث، مثل ترتيبات backhaul أو roaming أو الربط البيني؛ أو</w:t>
      </w:r>
    </w:p>
    <w:p>
      <w:pPr>
        <w:pStyle w:val="ListParagraph"/>
        <w:numPr>
          <w:ilvl w:val="1"/>
          <w:numId w:val="2"/>
        </w:numPr>
        <w:bidi/>
        <w:spacing w:after="60" w:line="290"/>
        <w:jc w:val="start"/>
      </w:pPr>
      <w:r>
        <w:rPr>
          <w:rFonts w:ascii="Arial" w:cs="Arial" w:eastAsia="Arial" w:hAnsi="Arial"/>
          <w:sz w:val="22"/>
          <w:szCs w:val="22"/>
          <w:rtl/>
        </w:rPr>
        <w:t xml:space="preserve">(ii) يشمل معدات اتصالات لا تستطيع توجيه حركة بيانات المستخدم أو إعادة توجيهها أو لا تسمح بالاطلاع على أي بيانات أو حزم للمستخدم تنقلها هذه المعدات أو تعالجها بخلاف ذلك.</w:t>
      </w:r>
    </w:p>
    <w:p>
      <w:pPr>
        <w:bidi/>
        <w:spacing w:after="100" w:before="0" w:line="300"/>
        <w:jc w:val="start"/>
      </w:pPr>
      <w:r>
        <w:rPr>
          <w:rFonts w:ascii="Arial" w:cs="Arial" w:eastAsia="Arial" w:hAnsi="Arial"/>
          <w:b/>
          <w:bCs/>
          <w:sz w:val="22"/>
          <w:szCs w:val="22"/>
          <w:rtl/>
        </w:rPr>
        <w:t xml:space="preserve">(c) الإجراءات.</w:t>
      </w:r>
      <w:r>
        <w:rPr>
          <w:rFonts w:ascii="Arial" w:cs="Arial" w:eastAsia="Arial" w:hAnsi="Arial"/>
          <w:sz w:val="22"/>
          <w:szCs w:val="22"/>
          <w:rtl/>
        </w:rPr>
        <w:t xml:space="preserve"> يجب على مقدّم العرض مراجعة قائمة الأطراف المستبعدة في نظام إدارة الترسية (System for Award Management – SAM) (https://www.sam.gov) بحثًا عن الكيانات المستبعدة من تلقي منح فيدرالية بسبب "معدات أو خدمات اتصالات مشمولة".</w:t>
      </w:r>
    </w:p>
    <w:p>
      <w:pPr>
        <w:bidi/>
        <w:spacing w:after="100" w:before="0" w:line="300"/>
        <w:jc w:val="start"/>
      </w:pPr>
      <w:r>
        <w:rPr>
          <w:rFonts w:ascii="Arial" w:cs="Arial" w:eastAsia="Arial" w:hAnsi="Arial"/>
          <w:b/>
          <w:bCs/>
          <w:sz w:val="22"/>
          <w:szCs w:val="22"/>
          <w:rtl/>
        </w:rPr>
        <w:t xml:space="preserve">(d) الإقرار.</w:t>
      </w:r>
      <w:r>
        <w:rPr>
          <w:rFonts w:ascii="Arial" w:cs="Arial" w:eastAsia="Arial" w:hAnsi="Arial"/>
          <w:sz w:val="22"/>
          <w:szCs w:val="22"/>
          <w:rtl/>
        </w:rPr>
        <w:t xml:space="preserve"> يقرّ مقدّم العرض بأن:</w:t>
      </w:r>
    </w:p>
    <w:p>
      <w:pPr>
        <w:bidi/>
        <w:spacing w:after="100" w:before="0" w:line="300"/>
        <w:jc w:val="start"/>
      </w:pPr>
      <w:r>
        <w:rPr>
          <w:rFonts w:ascii="Arial" w:cs="Arial" w:eastAsia="Arial" w:hAnsi="Arial"/>
          <w:sz w:val="22"/>
          <w:szCs w:val="22"/>
          <w:rtl/>
        </w:rPr>
        <w:t xml:space="preserve">(1) هو  ☐ سوف  ☐ لن يقدّم معدات أو خدمات اتصالات مشمولة إلى الحكومة في تنفيذ أي عقد أو عقد من الباطن أو صك تعاقدي آخر ناتج عن هذه المناقصة. ويجب على مقدّم العرض تقديم معلومات الإفصاح الإضافية المطلوبة في الفقرة (e)(1) من هذا القسم إذا أجاب بـ "سوف" في الفقرة (d)(1)؛ و</w:t>
      </w:r>
    </w:p>
    <w:p>
      <w:pPr>
        <w:bidi/>
        <w:spacing w:after="100" w:before="0" w:line="300"/>
        <w:jc w:val="start"/>
      </w:pPr>
      <w:r>
        <w:rPr>
          <w:rFonts w:ascii="Arial" w:cs="Arial" w:eastAsia="Arial" w:hAnsi="Arial"/>
          <w:sz w:val="22"/>
          <w:szCs w:val="22"/>
          <w:rtl/>
        </w:rPr>
        <w:t xml:space="preserve">(2) بعد إجراء استفسار معقول (reasonable inquiry)، لأغراض هذا الإقرار، يقرّ مقدّم العرض بأنه ☐ يستخدم ☐ لا يستخدم معدات أو خدمات اتصالات مشمولة، أو أي معدات أو نظام أو خدمة تستخدم معدات أو خدمات اتصالات مشمولة. ويجب على مقدّم العرض تقديم معلومات الإفصاح الإضافية المطلوبة في الفقرة (e)(2) من هذا القسم إذا أجاب بـ "يستخدم" في الفقرة (d)(2).</w:t>
      </w:r>
    </w:p>
    <w:p>
      <w:pPr>
        <w:bidi/>
        <w:spacing w:after="100" w:before="0" w:line="300"/>
        <w:jc w:val="start"/>
      </w:pPr>
      <w:r>
        <w:rPr>
          <w:rFonts w:ascii="Arial" w:cs="Arial" w:eastAsia="Arial" w:hAnsi="Arial"/>
          <w:b/>
          <w:bCs/>
          <w:sz w:val="22"/>
          <w:szCs w:val="22"/>
          <w:rtl/>
        </w:rPr>
        <w:t xml:space="preserve">(e) الإفصاحات.</w:t>
      </w:r>
    </w:p>
    <w:p>
      <w:pPr>
        <w:bidi/>
        <w:spacing w:after="100" w:before="0" w:line="300"/>
        <w:jc w:val="start"/>
      </w:pPr>
      <w:r>
        <w:rPr>
          <w:rFonts w:ascii="Arial" w:cs="Arial" w:eastAsia="Arial" w:hAnsi="Arial"/>
          <w:sz w:val="22"/>
          <w:szCs w:val="22"/>
          <w:rtl/>
        </w:rPr>
        <w:t xml:space="preserve">(1) الإفصاح عن الإقرار في الفقرة (d)(1). إذا أجاب مقدّم العرض بـ "سوف" في الإقرار الوارد في الفقرة (d)(1)، فعليه تقديم المعلومات التالية كجزء من العرض:</w:t>
      </w:r>
    </w:p>
    <w:p>
      <w:pPr>
        <w:pStyle w:val="ListParagraph"/>
        <w:numPr>
          <w:ilvl w:val="1"/>
          <w:numId w:val="2"/>
        </w:numPr>
        <w:bidi/>
        <w:spacing w:after="60" w:line="290"/>
        <w:jc w:val="start"/>
      </w:pPr>
      <w:r>
        <w:rPr>
          <w:rFonts w:ascii="Arial" w:cs="Arial" w:eastAsia="Arial" w:hAnsi="Arial"/>
          <w:sz w:val="22"/>
          <w:szCs w:val="22"/>
          <w:rtl/>
        </w:rPr>
        <w:t xml:space="preserve">(i) للمعدات المشمولة—</w:t>
      </w:r>
    </w:p>
    <w:p>
      <w:pPr>
        <w:pStyle w:val="ListParagraph"/>
        <w:numPr>
          <w:ilvl w:val="2"/>
          <w:numId w:val="2"/>
        </w:numPr>
        <w:bidi/>
        <w:spacing w:after="60" w:line="290"/>
        <w:jc w:val="start"/>
      </w:pPr>
      <w:r>
        <w:rPr>
          <w:rFonts w:ascii="Arial" w:cs="Arial" w:eastAsia="Arial" w:hAnsi="Arial"/>
          <w:sz w:val="22"/>
          <w:szCs w:val="22"/>
          <w:rtl/>
        </w:rPr>
        <w:t xml:space="preserve">(A) الكيان الذي أنتج معدات الاتصالات المشمولة (يشمل اسم الكيان والمعرّف الفريد للكيان (unique entity identifier) ورمز CAGE، وما إذا كان الكيان هو الشركة المصنّعة الأصلية (OEM) أو موزّعًا، إن عُلم)؛</w:t>
      </w:r>
    </w:p>
    <w:p>
      <w:pPr>
        <w:pStyle w:val="ListParagraph"/>
        <w:numPr>
          <w:ilvl w:val="2"/>
          <w:numId w:val="2"/>
        </w:numPr>
        <w:bidi/>
        <w:spacing w:after="60" w:line="290"/>
        <w:jc w:val="start"/>
      </w:pPr>
      <w:r>
        <w:rPr>
          <w:rFonts w:ascii="Arial" w:cs="Arial" w:eastAsia="Arial" w:hAnsi="Arial"/>
          <w:sz w:val="22"/>
          <w:szCs w:val="22"/>
          <w:rtl/>
        </w:rPr>
        <w:t xml:space="preserve">(B) وصف لجميع معدات الاتصالات المشمولة المعروضة (يشمل الماركة؛ ورقم الموديل، مثل رقم OEM أو رقم قطعة المصنّع أو رقم تاجر الجملة؛ ووصف البند، حسب الاقتضاء)؛ و</w:t>
      </w:r>
    </w:p>
    <w:p>
      <w:pPr>
        <w:pStyle w:val="ListParagraph"/>
        <w:numPr>
          <w:ilvl w:val="2"/>
          <w:numId w:val="2"/>
        </w:numPr>
        <w:bidi/>
        <w:spacing w:after="60" w:line="290"/>
        <w:jc w:val="start"/>
      </w:pPr>
      <w:r>
        <w:rPr>
          <w:rFonts w:ascii="Arial" w:cs="Arial" w:eastAsia="Arial" w:hAnsi="Arial"/>
          <w:sz w:val="22"/>
          <w:szCs w:val="22"/>
          <w:rtl/>
        </w:rPr>
        <w:t xml:space="preserve">(C) شرح للاستخدام المقترح لمعدات الاتصالات المشمولة وأي عوامل ذات صلة بتحديد ما إذا كان هذا الاستخدام جائزًا بموجب الحظر الوارد في الفقرة (b)(1) من هذا الحكم.</w:t>
      </w:r>
    </w:p>
    <w:p>
      <w:pPr>
        <w:pStyle w:val="ListParagraph"/>
        <w:numPr>
          <w:ilvl w:val="1"/>
          <w:numId w:val="2"/>
        </w:numPr>
        <w:bidi/>
        <w:spacing w:after="60" w:line="290"/>
        <w:jc w:val="start"/>
      </w:pPr>
      <w:r>
        <w:rPr>
          <w:rFonts w:ascii="Arial" w:cs="Arial" w:eastAsia="Arial" w:hAnsi="Arial"/>
          <w:sz w:val="22"/>
          <w:szCs w:val="22"/>
          <w:rtl/>
        </w:rPr>
        <w:t xml:space="preserve">(ii) للخدمات المشمولة—</w:t>
      </w:r>
    </w:p>
    <w:p>
      <w:pPr>
        <w:pStyle w:val="ListParagraph"/>
        <w:numPr>
          <w:ilvl w:val="2"/>
          <w:numId w:val="2"/>
        </w:numPr>
        <w:bidi/>
        <w:spacing w:after="60" w:line="290"/>
        <w:jc w:val="start"/>
      </w:pPr>
      <w:r>
        <w:rPr>
          <w:rFonts w:ascii="Arial" w:cs="Arial" w:eastAsia="Arial" w:hAnsi="Arial"/>
          <w:sz w:val="22"/>
          <w:szCs w:val="22"/>
          <w:rtl/>
        </w:rPr>
        <w:t xml:space="preserve">(A) إذا كانت الخدمة متعلقة بصيانة بند: وصف لجميع خدمات الاتصالات المشمولة المعروضة (يشمل على البند الذي تجري صيانته: الماركة؛ ورقم الموديل، مثل رقم OEM أو رقم قطعة المصنّع أو رقم تاجر الجملة؛ ووصف البند، حسب الاقتضاء)؛ أو</w:t>
      </w:r>
    </w:p>
    <w:p>
      <w:pPr>
        <w:pStyle w:val="ListParagraph"/>
        <w:numPr>
          <w:ilvl w:val="2"/>
          <w:numId w:val="2"/>
        </w:numPr>
        <w:bidi/>
        <w:spacing w:after="60" w:line="290"/>
        <w:jc w:val="start"/>
      </w:pPr>
      <w:r>
        <w:rPr>
          <w:rFonts w:ascii="Arial" w:cs="Arial" w:eastAsia="Arial" w:hAnsi="Arial"/>
          <w:sz w:val="22"/>
          <w:szCs w:val="22"/>
          <w:rtl/>
        </w:rPr>
        <w:t xml:space="preserve">(B) إذا لم تكن مرتبطة بالصيانة، رمز المنتج والخدمة (Product Service Code – PSC) للخدمة المقدَّمة؛ وشرح للاستخدام المقترح لخدمات الاتصالات المشمولة وأي عوامل ذات صلة بتحديد ما إذا كان هذا الاستخدام جائزًا بموجب الحظر الوارد في الفقرة (b)(1) من هذا الحكم.</w:t>
      </w:r>
    </w:p>
    <w:p>
      <w:pPr>
        <w:bidi/>
        <w:spacing w:after="100" w:before="0" w:line="300"/>
        <w:jc w:val="start"/>
      </w:pPr>
      <w:r>
        <w:rPr>
          <w:rFonts w:ascii="Arial" w:cs="Arial" w:eastAsia="Arial" w:hAnsi="Arial"/>
          <w:sz w:val="22"/>
          <w:szCs w:val="22"/>
          <w:rtl/>
        </w:rPr>
        <w:t xml:space="preserve">(2) الإفصاح عن الإقرار في الفقرة (d)(2). إذا أجاب مقدّم العرض بـ "يستخدم" في الإقرار الوارد في الفقرة (d)(2)، فعليه تقديم المعلومات التالية كجزء من العرض:</w:t>
      </w:r>
    </w:p>
    <w:p>
      <w:pPr>
        <w:pStyle w:val="ListParagraph"/>
        <w:numPr>
          <w:ilvl w:val="1"/>
          <w:numId w:val="2"/>
        </w:numPr>
        <w:bidi/>
        <w:spacing w:after="60" w:line="290"/>
        <w:jc w:val="start"/>
      </w:pPr>
      <w:r>
        <w:rPr>
          <w:rFonts w:ascii="Arial" w:cs="Arial" w:eastAsia="Arial" w:hAnsi="Arial"/>
          <w:sz w:val="22"/>
          <w:szCs w:val="22"/>
          <w:rtl/>
        </w:rPr>
        <w:t xml:space="preserve">(i) للمعدات المشمولة—</w:t>
      </w:r>
    </w:p>
    <w:p>
      <w:pPr>
        <w:pStyle w:val="ListParagraph"/>
        <w:numPr>
          <w:ilvl w:val="2"/>
          <w:numId w:val="2"/>
        </w:numPr>
        <w:bidi/>
        <w:spacing w:after="60" w:line="290"/>
        <w:jc w:val="start"/>
      </w:pPr>
      <w:r>
        <w:rPr>
          <w:rFonts w:ascii="Arial" w:cs="Arial" w:eastAsia="Arial" w:hAnsi="Arial"/>
          <w:sz w:val="22"/>
          <w:szCs w:val="22"/>
          <w:rtl/>
        </w:rPr>
        <w:t xml:space="preserve">(A) الكيان الذي أنتج معدات الاتصالات المشمولة (يشمل اسم الكيان والمعرّف الفريد للكيان ورمز CAGE، وما إذا كان الكيان هو OEM أو موزّعًا، إن عُلم)</w:t>
      </w:r>
    </w:p>
    <w:p>
      <w:pPr>
        <w:pStyle w:val="ListParagraph"/>
        <w:numPr>
          <w:ilvl w:val="2"/>
          <w:numId w:val="2"/>
        </w:numPr>
        <w:bidi/>
        <w:spacing w:after="60" w:line="290"/>
        <w:jc w:val="start"/>
      </w:pPr>
      <w:r>
        <w:rPr>
          <w:rFonts w:ascii="Arial" w:cs="Arial" w:eastAsia="Arial" w:hAnsi="Arial"/>
          <w:sz w:val="22"/>
          <w:szCs w:val="22"/>
          <w:rtl/>
        </w:rPr>
        <w:t xml:space="preserve">(B) وصف لجميع معدات الاتصالات المشمولة المعروضة (يشمل الماركة؛ ورقم الموديل، مثل رقم OEM أو رقم قطعة المصنّع أو رقم تاجر الجملة؛ ووصف البند، حسب الاقتضاء)؛ و</w:t>
      </w:r>
    </w:p>
    <w:p>
      <w:pPr>
        <w:pStyle w:val="ListParagraph"/>
        <w:numPr>
          <w:ilvl w:val="2"/>
          <w:numId w:val="2"/>
        </w:numPr>
        <w:bidi/>
        <w:spacing w:after="60" w:line="290"/>
        <w:jc w:val="start"/>
      </w:pPr>
      <w:r>
        <w:rPr>
          <w:rFonts w:ascii="Arial" w:cs="Arial" w:eastAsia="Arial" w:hAnsi="Arial"/>
          <w:sz w:val="22"/>
          <w:szCs w:val="22"/>
          <w:rtl/>
        </w:rPr>
        <w:t xml:space="preserve">(C) شرح للاستخدام المقترح لمعدات الاتصالات المشمولة وأي عوامل ذات صلة بتحديد ما إذا كان هذا الاستخدام جائزًا بموجب الحظر الوارد في الفقرة (b)(2) من هذا الحكم.</w:t>
      </w:r>
    </w:p>
    <w:p>
      <w:pPr>
        <w:pStyle w:val="ListParagraph"/>
        <w:numPr>
          <w:ilvl w:val="1"/>
          <w:numId w:val="2"/>
        </w:numPr>
        <w:bidi/>
        <w:spacing w:after="60" w:line="290"/>
        <w:jc w:val="start"/>
      </w:pPr>
      <w:r>
        <w:rPr>
          <w:rFonts w:ascii="Arial" w:cs="Arial" w:eastAsia="Arial" w:hAnsi="Arial"/>
          <w:sz w:val="22"/>
          <w:szCs w:val="22"/>
          <w:rtl/>
        </w:rPr>
        <w:t xml:space="preserve">(ii) للخدمات المشمولة—</w:t>
      </w:r>
    </w:p>
    <w:p>
      <w:pPr>
        <w:pStyle w:val="ListParagraph"/>
        <w:numPr>
          <w:ilvl w:val="2"/>
          <w:numId w:val="2"/>
        </w:numPr>
        <w:bidi/>
        <w:spacing w:after="60" w:line="290"/>
        <w:jc w:val="start"/>
      </w:pPr>
      <w:r>
        <w:rPr>
          <w:rFonts w:ascii="Arial" w:cs="Arial" w:eastAsia="Arial" w:hAnsi="Arial"/>
          <w:sz w:val="22"/>
          <w:szCs w:val="22"/>
          <w:rtl/>
        </w:rPr>
        <w:t xml:space="preserve">(A) إذا كانت الخدمة متعلقة بصيانة بند: وصف لجميع خدمات الاتصالات المشمولة المعروضة (يشمل على البند الذي تجري صيانته: الماركة؛ ورقم الموديل، مثل رقم OEM أو رقم قطعة المصنّع أو رقم تاجر الجملة؛ ووصف البند، حسب الاقتضاء)؛ أو</w:t>
      </w:r>
    </w:p>
    <w:p>
      <w:pPr>
        <w:pStyle w:val="ListParagraph"/>
        <w:numPr>
          <w:ilvl w:val="2"/>
          <w:numId w:val="2"/>
        </w:numPr>
        <w:bidi/>
        <w:spacing w:after="60" w:line="290"/>
        <w:jc w:val="start"/>
      </w:pPr>
      <w:r>
        <w:rPr>
          <w:rFonts w:ascii="Arial" w:cs="Arial" w:eastAsia="Arial" w:hAnsi="Arial"/>
          <w:sz w:val="22"/>
          <w:szCs w:val="22"/>
          <w:rtl/>
        </w:rPr>
        <w:t xml:space="preserve">(B) إذا لم تكن مرتبطة بالصيانة، PSC للخدمة المقدَّمة؛ وشرح للاستخدام المقترح لخدمات الاتصالات المشمولة وأي عوامل ذات صلة بتحديد ما إذا كان هذا الاستخدام جائزًا بموجب الحظر الوارد في الفقرة (b)(2) من هذا الحكم.</w:t>
      </w:r>
    </w:p>
    <w:p>
      <w:pPr>
        <w:pStyle w:val="Heading3"/>
        <w:keepNext/>
        <w:bidi/>
        <w:spacing w:after="80" w:before="160"/>
        <w:jc w:val="start"/>
      </w:pPr>
      <w:r>
        <w:rPr>
          <w:rFonts w:ascii="Arial" w:cs="Arial" w:eastAsia="Arial" w:hAnsi="Arial"/>
          <w:b/>
          <w:bCs/>
          <w:color w:val="404040"/>
          <w:sz w:val="23"/>
          <w:szCs w:val="23"/>
          <w:rtl/>
        </w:rPr>
        <w:t xml:space="preserve">4. 52.204-26 معدات أو خدمات الاتصالات المشمولة – الإقرار (ديسمبر 2019)</w:t>
      </w:r>
    </w:p>
    <w:p>
      <w:pPr>
        <w:bidi/>
        <w:spacing w:after="100" w:before="0" w:line="300"/>
        <w:jc w:val="start"/>
      </w:pPr>
      <w:r>
        <w:rPr>
          <w:rFonts w:ascii="Arial" w:cs="Arial" w:eastAsia="Arial" w:hAnsi="Arial"/>
          <w:b/>
          <w:bCs/>
          <w:sz w:val="22"/>
          <w:szCs w:val="22"/>
          <w:rtl/>
        </w:rPr>
        <w:t xml:space="preserve">(a) التعريفات.</w:t>
      </w:r>
      <w:r>
        <w:rPr>
          <w:rFonts w:ascii="Arial" w:cs="Arial" w:eastAsia="Arial" w:hAnsi="Arial"/>
          <w:sz w:val="22"/>
          <w:szCs w:val="22"/>
          <w:rtl/>
        </w:rPr>
        <w:t xml:space="preserve"> حسب استخدامها في هذا الحكم، يحمل مصطلح "covered telecommunications equipment or services" المعنى المقدَّم في البند 52.204-25، حظر التعاقد على خدمات أو معدات اتصالات ومراقبة بالفيديو معينة.</w:t>
      </w:r>
    </w:p>
    <w:p>
      <w:pPr>
        <w:bidi/>
        <w:spacing w:after="100" w:before="0" w:line="300"/>
        <w:jc w:val="start"/>
      </w:pPr>
      <w:r>
        <w:rPr>
          <w:rFonts w:ascii="Arial" w:cs="Arial" w:eastAsia="Arial" w:hAnsi="Arial"/>
          <w:b/>
          <w:bCs/>
          <w:sz w:val="22"/>
          <w:szCs w:val="22"/>
          <w:rtl/>
        </w:rPr>
        <w:t xml:space="preserve">(b) الإجراءات.</w:t>
      </w:r>
      <w:r>
        <w:rPr>
          <w:rFonts w:ascii="Arial" w:cs="Arial" w:eastAsia="Arial" w:hAnsi="Arial"/>
          <w:sz w:val="22"/>
          <w:szCs w:val="22"/>
          <w:rtl/>
        </w:rPr>
        <w:t xml:space="preserve"> يجب على مقدّم العرض مراجعة قائمة الأطراف المستبعدة في نظام إدارة الترسية (SAM) (https://www.sam.gov) بحثًا عن الكيانات المستبعدة من تلقي منح فيدرالية بسبب "معدات أو خدمات اتصالات مشمولة".</w:t>
      </w:r>
    </w:p>
    <w:p>
      <w:pPr>
        <w:bidi/>
        <w:spacing w:after="100" w:before="0" w:line="300"/>
        <w:jc w:val="start"/>
      </w:pPr>
      <w:r>
        <w:rPr>
          <w:rFonts w:ascii="Arial" w:cs="Arial" w:eastAsia="Arial" w:hAnsi="Arial"/>
          <w:b/>
          <w:bCs/>
          <w:sz w:val="22"/>
          <w:szCs w:val="22"/>
          <w:rtl/>
        </w:rPr>
        <w:t xml:space="preserve">(c) الإقرار.</w:t>
      </w:r>
      <w:r>
        <w:rPr>
          <w:rFonts w:ascii="Arial" w:cs="Arial" w:eastAsia="Arial" w:hAnsi="Arial"/>
          <w:sz w:val="22"/>
          <w:szCs w:val="22"/>
          <w:rtl/>
        </w:rPr>
        <w:t xml:space="preserve"> يقرّ مقدّم العرض بأنه ☐ يقدّم ☐ لا يقدّم معدات أو خدمات اتصالات مشمولة كجزء من منتجاته أو خدماته المعروضة على الحكومة في تنفيذ أي عقد أو عقد من الباطن أو صك تعاقدي آخر.</w:t>
      </w:r>
    </w:p>
    <w:p>
      <w:pPr>
        <w:bidi/>
        <w:spacing w:after="100" w:before="0" w:line="300"/>
        <w:jc w:val="start"/>
      </w:pPr>
      <w:r>
        <w:rPr>
          <w:rFonts w:ascii="Arial" w:cs="Arial" w:eastAsia="Arial" w:hAnsi="Arial"/>
          <w:sz w:val="22"/>
          <w:szCs w:val="22"/>
          <w:rtl/>
        </w:rPr>
        <w:t xml:space="preserve">ستُقدَّم الشروط والأحكام الإضافية لاتفاقية أمر الشراء عند الإخطار بالترسية.</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VI: شروط وأحكام Creative (Creative Terms and Conditions)</w:t>
      </w:r>
    </w:p>
    <w:p>
      <w:pPr>
        <w:bidi/>
        <w:spacing w:after="100" w:before="0" w:line="300"/>
        <w:jc w:val="start"/>
      </w:pPr>
      <w:r>
        <w:rPr>
          <w:rFonts w:ascii="Arial" w:cs="Arial" w:eastAsia="Arial" w:hAnsi="Arial"/>
          <w:sz w:val="22"/>
          <w:szCs w:val="22"/>
          <w:rtl/>
        </w:rPr>
        <w:t xml:space="preserve">إن العمل المنفَّذ أو المستلزمات المسلَّمة بموجب الاتفاقية الناتجة عن هذا الـ RFP هي وفق عقد من USAID. وستُدرج في الاتفاقية جميع بنود التدفق (flow-down clauses) ذات الصلة من العقد: (a) بطريقة تجعل المقاول خاضعًا لتلك البنود، حسب الاقتضاء، و(b) بالقدر اللازم لتمكين Creative من أداء التزاماتها بموجب العقد وتمكين USAID من إنفاذ حقوقها بموجبه. وتتضمن هذه الاتفاقية لوائح المشتريات الفيدرالية (FAR) ولوائح الوكالة التالية حسب الاقتضاء. وإلى أقصى حد تتدفق أو تنطبق هذه البنود على المقاول، فإنها مدرجة هنا بالإحالة بنفس القوة والأثر كما لو أُوردت بنصها الكامل. وحيثما كان ذلك مناسبًا وقابلًا للتطبيق بموجب هذه البنود، تُفسَّر الإشارات إلى "الحكومة" (Government) بأنها تعني Creative Associates وإلى "المقاول" (Contractor) بأنها تعني متلقي العقد الناتج عن هذه الترسية.</w:t>
      </w:r>
    </w:p>
    <w:p>
      <w:pPr>
        <w:bidi/>
        <w:spacing w:after="100" w:before="0" w:line="300"/>
        <w:jc w:val="start"/>
      </w:pPr>
      <w:r>
        <w:rPr>
          <w:rFonts w:ascii="Arial" w:cs="Arial" w:eastAsia="Arial" w:hAnsi="Arial"/>
          <w:sz w:val="22"/>
          <w:szCs w:val="22"/>
          <w:rtl/>
        </w:rPr>
        <w:t xml:space="preserve">يبرم البائع (Seller) وCreative Associates International, Inc. ("Creative" أو "الشركة" أو "المشتري" (Buyer)) الاتفاقية التالية ("أمر الشراء" – Purchase Order) بالشروط والأحكام التالية:</w:t>
      </w:r>
    </w:p>
    <w:p>
      <w:pPr>
        <w:pStyle w:val="ListParagraph"/>
        <w:numPr>
          <w:ilvl w:val="0"/>
          <w:numId w:val="7"/>
        </w:numPr>
        <w:bidi/>
        <w:spacing w:after="60" w:line="290"/>
        <w:jc w:val="start"/>
      </w:pPr>
      <w:r>
        <w:rPr>
          <w:rFonts w:ascii="Arial" w:cs="Arial" w:eastAsia="Arial" w:hAnsi="Arial"/>
          <w:b/>
          <w:bCs/>
          <w:sz w:val="22"/>
          <w:szCs w:val="22"/>
          <w:rtl/>
        </w:rPr>
        <w:t xml:space="preserve">الاتفاقية الكاملة والشروط (Complete Agreement and Conditions).</w:t>
      </w:r>
      <w:r>
        <w:rPr>
          <w:rFonts w:ascii="Arial" w:cs="Arial" w:eastAsia="Arial" w:hAnsi="Arial"/>
          <w:sz w:val="22"/>
          <w:szCs w:val="22"/>
          <w:rtl/>
        </w:rPr>
        <w:t xml:space="preserve"> يتضمن أمر الشراء هذا والوثائق المدرجة فيه تحديدًا بالإحالة جميع الاتفاقات والشروط المبرمة بين المشتري والبائع، وتلغي وتحل محل جميع الاتفاقات الأخرى بين المشتري والبائع، شفهية كانت أم مكتوبة، فيما يتعلق بموضوعه. وتُعد أي نسخة من أمر الشراء هذا سارية لأي غرض كما لو كانت الأصل.</w:t>
      </w:r>
    </w:p>
    <w:p>
      <w:pPr>
        <w:pStyle w:val="ListParagraph"/>
        <w:numPr>
          <w:ilvl w:val="0"/>
          <w:numId w:val="7"/>
        </w:numPr>
        <w:bidi/>
        <w:spacing w:after="60" w:line="290"/>
        <w:jc w:val="start"/>
      </w:pPr>
      <w:r>
        <w:rPr>
          <w:rFonts w:ascii="Arial" w:cs="Arial" w:eastAsia="Arial" w:hAnsi="Arial"/>
          <w:b/>
          <w:bCs/>
          <w:sz w:val="22"/>
          <w:szCs w:val="22"/>
          <w:rtl/>
        </w:rPr>
        <w:t xml:space="preserve">القبول (Acceptance).</w:t>
      </w:r>
      <w:r>
        <w:rPr>
          <w:rFonts w:ascii="Arial" w:cs="Arial" w:eastAsia="Arial" w:hAnsi="Arial"/>
          <w:sz w:val="22"/>
          <w:szCs w:val="22"/>
          <w:rtl/>
        </w:rPr>
        <w:t xml:space="preserve"> ما لم يُنص على خلاف ذلك هنا، فإن إقرار البائع باستلام أمر الشراء هذا أو مباشرة أي عمل أو أداء أي خدمات بموجبه يشكّل قبولًا من البائع لأمر الشراء هذا وكافة شروطه وأحكامه. ولا يكون أي شرط أو حكم يذكره البائع عند الإقرار أو القبول بخلاف ذلك ملزمًا للمشتري ما لم يقبله المشتري كتابةً بشكل صريح. ولا يكون أي اعتراض من البائع نافذًا ما لم يُبلَّغ المشتري به كتابةً خلال 10 أيام عمل من إصدار أمر الشراء.</w:t>
      </w:r>
    </w:p>
    <w:p>
      <w:pPr>
        <w:pStyle w:val="ListParagraph"/>
        <w:numPr>
          <w:ilvl w:val="0"/>
          <w:numId w:val="7"/>
        </w:numPr>
        <w:bidi/>
        <w:spacing w:after="60" w:line="290"/>
        <w:jc w:val="start"/>
      </w:pPr>
      <w:r>
        <w:rPr>
          <w:rFonts w:ascii="Arial" w:cs="Arial" w:eastAsia="Arial" w:hAnsi="Arial"/>
          <w:b/>
          <w:bCs/>
          <w:sz w:val="22"/>
          <w:szCs w:val="22"/>
          <w:rtl/>
        </w:rPr>
        <w:t xml:space="preserve">الإخطارات (Notices).</w:t>
      </w:r>
      <w:r>
        <w:rPr>
          <w:rFonts w:ascii="Arial" w:cs="Arial" w:eastAsia="Arial" w:hAnsi="Arial"/>
          <w:sz w:val="22"/>
          <w:szCs w:val="22"/>
          <w:rtl/>
        </w:rPr>
        <w:t xml:space="preserve"> يجب أن تكون جميع الإخطارات أو المطالبات أو الاتصالات الأخرى المطلوب أو المرغوب إعطاؤها من أي طرف بموجب هذه الاتفاقية خطية، وتُعد مُعطاة عند تسليمها شخصيًا، أو بعد ثلاثة أيام من إرسالها بالبريد الأمريكي المسجل أو المعتمد مدفوع الأجر أو عبر DHL/FedEx إلى عنوان الطرف المراد إخطاره المحدد هنا أو أي عنوان آخر يقدّمه هذا الطرف للآخر بإخطار خطي.</w:t>
      </w:r>
    </w:p>
    <w:p>
      <w:pPr>
        <w:pStyle w:val="ListParagraph"/>
        <w:numPr>
          <w:ilvl w:val="0"/>
          <w:numId w:val="7"/>
        </w:numPr>
        <w:bidi/>
        <w:spacing w:after="60" w:line="290"/>
        <w:jc w:val="start"/>
      </w:pPr>
      <w:r>
        <w:rPr>
          <w:rFonts w:ascii="Arial" w:cs="Arial" w:eastAsia="Arial" w:hAnsi="Arial"/>
          <w:b/>
          <w:bCs/>
          <w:sz w:val="22"/>
          <w:szCs w:val="22"/>
          <w:rtl/>
        </w:rPr>
        <w:t xml:space="preserve">قابلية الفصل (Severability).</w:t>
      </w:r>
      <w:r>
        <w:rPr>
          <w:rFonts w:ascii="Arial" w:cs="Arial" w:eastAsia="Arial" w:hAnsi="Arial"/>
          <w:sz w:val="22"/>
          <w:szCs w:val="22"/>
          <w:rtl/>
        </w:rPr>
        <w:t xml:space="preserve"> في حال تقرر أن أي حكم من هذه الاتفاقية غير قانوني أو غير قابل للإنفاذ، يُحدّ هذا الحكم أو يُلغى بالحد الأدنى اللازم بحيث تظل الاتفاقية بخلاف ذلك سارية المفعول بكامل قوتها وقابلة للإنفاذ.</w:t>
      </w:r>
    </w:p>
    <w:p>
      <w:pPr>
        <w:pStyle w:val="ListParagraph"/>
        <w:numPr>
          <w:ilvl w:val="0"/>
          <w:numId w:val="7"/>
        </w:numPr>
        <w:bidi/>
        <w:spacing w:after="60" w:line="290"/>
        <w:jc w:val="start"/>
      </w:pPr>
      <w:r>
        <w:rPr>
          <w:rFonts w:ascii="Arial" w:cs="Arial" w:eastAsia="Arial" w:hAnsi="Arial"/>
          <w:b/>
          <w:bCs/>
          <w:sz w:val="22"/>
          <w:szCs w:val="22"/>
          <w:rtl/>
        </w:rPr>
        <w:t xml:space="preserve">شروط الدفع (Payment Terms).</w:t>
      </w:r>
    </w:p>
    <w:p>
      <w:pPr>
        <w:pStyle w:val="ListParagraph"/>
        <w:numPr>
          <w:ilvl w:val="1"/>
          <w:numId w:val="2"/>
        </w:numPr>
        <w:bidi/>
        <w:spacing w:after="60" w:line="290"/>
        <w:jc w:val="start"/>
      </w:pPr>
      <w:r>
        <w:rPr>
          <w:rFonts w:ascii="Arial" w:cs="Arial" w:eastAsia="Arial" w:hAnsi="Arial"/>
          <w:sz w:val="22"/>
          <w:szCs w:val="22"/>
          <w:rtl/>
        </w:rPr>
        <w:t xml:space="preserve">يُصدر البائع فواتيره إلى Creative وفق التعليمات الواردة في متن أمر الشراء. ويُدفع للبائع في موعد لا يتجاوز ثلاثين (30) يومًا بعد قبول العمل المفوتَر واستلام فاتورة مقبولة تطلب الدفع. وتُقدَّم الفواتير النهائية خلال ستين (60) يومًا بعد تاريخ التسليم الأخير أو نهاية مدة التنفيذ. وقد لا تُعالَج الفواتير الواردة بعد ستين (60) يومًا.</w:t>
      </w:r>
    </w:p>
    <w:p>
      <w:pPr>
        <w:pStyle w:val="ListParagraph"/>
        <w:numPr>
          <w:ilvl w:val="1"/>
          <w:numId w:val="2"/>
        </w:numPr>
        <w:bidi/>
        <w:spacing w:after="60" w:line="290"/>
        <w:jc w:val="start"/>
      </w:pPr>
      <w:r>
        <w:rPr>
          <w:rFonts w:ascii="Arial" w:cs="Arial" w:eastAsia="Arial" w:hAnsi="Arial"/>
          <w:sz w:val="22"/>
          <w:szCs w:val="22"/>
          <w:rtl/>
        </w:rPr>
        <w:t xml:space="preserve">ما لم يتفق الطرفان على خلاف ذلك، يوافق البائع بموجبه على إبراء ذمة المشتري ومسؤوليه ووكلائه وموظفيه وخلفائه والمتنازل لهم من جميع الالتزامات والمطالبات الناشئة عن أمر الشراء هذا أو بموجبه، حيثما قُدمت بعد "فترة التقادم" (Limitation Period) المحددة بمئة وثمانين (180) يومًا.</w:t>
      </w:r>
    </w:p>
    <w:p>
      <w:pPr>
        <w:pStyle w:val="ListParagraph"/>
        <w:numPr>
          <w:ilvl w:val="0"/>
          <w:numId w:val="7"/>
        </w:numPr>
        <w:bidi/>
        <w:spacing w:after="60" w:line="290"/>
        <w:jc w:val="start"/>
      </w:pPr>
      <w:r>
        <w:rPr>
          <w:rFonts w:ascii="Arial" w:cs="Arial" w:eastAsia="Arial" w:hAnsi="Arial"/>
          <w:b/>
          <w:bCs/>
          <w:sz w:val="22"/>
          <w:szCs w:val="22"/>
          <w:rtl/>
        </w:rPr>
        <w:t xml:space="preserve">الضرائب (Taxes).</w:t>
      </w:r>
      <w:r>
        <w:rPr>
          <w:rFonts w:ascii="Arial" w:cs="Arial" w:eastAsia="Arial" w:hAnsi="Arial"/>
          <w:sz w:val="22"/>
          <w:szCs w:val="22"/>
          <w:rtl/>
        </w:rPr>
        <w:t xml:space="preserve"> يدفع البائع ضريبة القيمة المضافة والرسوم الجمركية التي تفرضها الحكومة المضيفة. ولا تشمل هذه المسؤولية ضريبة المبيعات أو ضرائب التوظيف التي يقتضيها القانون المحلي والتي تُفوتَر لـ Creative بشكل منفصل. ويكون البائع مسؤولًا عن دفع جميع الضرائب المطبقة المرتبطة بالإيرادات (الأرباح) وغيرها من الضرائب والرسوم والمستحقات التي يكون البائع مسؤولًا عنها عادةً نتيجة ممارسة أعماله. ويكون البائع مسؤولًا عن تقديم رقم التعريف الضريبي (tax identification number)، إلى جانب بيانات الحساب المصرفي واسم الشركة ورقم تسجيل الشركة وعنوان الشركة ورقم الاتصال.</w:t>
      </w:r>
    </w:p>
    <w:p>
      <w:pPr>
        <w:pStyle w:val="ListParagraph"/>
        <w:numPr>
          <w:ilvl w:val="0"/>
          <w:numId w:val="7"/>
        </w:numPr>
        <w:bidi/>
        <w:spacing w:after="60" w:line="290"/>
        <w:jc w:val="start"/>
      </w:pPr>
      <w:r>
        <w:rPr>
          <w:rFonts w:ascii="Arial" w:cs="Arial" w:eastAsia="Arial" w:hAnsi="Arial"/>
          <w:b/>
          <w:bCs/>
          <w:sz w:val="22"/>
          <w:szCs w:val="22"/>
          <w:rtl/>
        </w:rPr>
        <w:t xml:space="preserve">العقود من الباطن (Subcontracts).</w:t>
      </w:r>
    </w:p>
    <w:p>
      <w:pPr>
        <w:pStyle w:val="ListParagraph"/>
        <w:numPr>
          <w:ilvl w:val="1"/>
          <w:numId w:val="2"/>
        </w:numPr>
        <w:bidi/>
        <w:spacing w:after="60" w:line="290"/>
        <w:jc w:val="start"/>
      </w:pPr>
      <w:r>
        <w:rPr>
          <w:rFonts w:ascii="Arial" w:cs="Arial" w:eastAsia="Arial" w:hAnsi="Arial"/>
          <w:sz w:val="22"/>
          <w:szCs w:val="22"/>
          <w:rtl/>
        </w:rPr>
        <w:t xml:space="preserve">لا يجوز للبائع التعاقد من الباطن على أي عمل يتطلبه أمر الشراء دون موافقة كتابية مسبقة من المشتري. ويتعين على البائع إلزام الموردين المباشرين والأدنى مستوى باتفاق يتضمن متطلبات أداء مطابقة.</w:t>
      </w:r>
    </w:p>
    <w:p>
      <w:pPr>
        <w:pStyle w:val="ListParagraph"/>
        <w:numPr>
          <w:ilvl w:val="1"/>
          <w:numId w:val="2"/>
        </w:numPr>
        <w:bidi/>
        <w:spacing w:after="60" w:line="290"/>
        <w:jc w:val="start"/>
      </w:pPr>
      <w:r>
        <w:rPr>
          <w:rFonts w:ascii="Arial" w:cs="Arial" w:eastAsia="Arial" w:hAnsi="Arial"/>
          <w:sz w:val="22"/>
          <w:szCs w:val="22"/>
          <w:rtl/>
        </w:rPr>
        <w:t xml:space="preserve">لا يجوز أن ينص أي عقد من الباطن يُبرم بموجب أمر الشراء هذا على الدفع على أساس التكلفة زائد نسبة مئوية من التكلفة (cost-plus-percentage-of-cost)، ويوافق البائع على اختيار المقاولين من الباطن/الموردين على أساس تنافسي إلى أقصى حد عملي بما يتسق مع أهداف أمر الشراء هذا ومتطلباته.</w:t>
      </w:r>
    </w:p>
    <w:p>
      <w:pPr>
        <w:pStyle w:val="ListParagraph"/>
        <w:numPr>
          <w:ilvl w:val="1"/>
          <w:numId w:val="2"/>
        </w:numPr>
        <w:bidi/>
        <w:spacing w:after="60" w:line="290"/>
        <w:jc w:val="start"/>
      </w:pPr>
      <w:r>
        <w:rPr>
          <w:rFonts w:ascii="Arial" w:cs="Arial" w:eastAsia="Arial" w:hAnsi="Arial"/>
          <w:sz w:val="22"/>
          <w:szCs w:val="22"/>
          <w:rtl/>
        </w:rPr>
        <w:t xml:space="preserve">يجب أن يتضمن أي عقد من الباطن يُعتمد بموجب أمر الشراء هذا في جوهره الشروط والأحكام والشهادات والتأكيدات نفسها الواردة في أمر الشراء هذا.</w:t>
      </w:r>
    </w:p>
    <w:p>
      <w:pPr>
        <w:pStyle w:val="ListParagraph"/>
        <w:numPr>
          <w:ilvl w:val="0"/>
          <w:numId w:val="7"/>
        </w:numPr>
        <w:bidi/>
        <w:spacing w:after="60" w:line="290"/>
        <w:jc w:val="start"/>
      </w:pPr>
      <w:r>
        <w:rPr>
          <w:rFonts w:ascii="Arial" w:cs="Arial" w:eastAsia="Arial" w:hAnsi="Arial"/>
          <w:b/>
          <w:bCs/>
          <w:sz w:val="22"/>
          <w:szCs w:val="22"/>
          <w:rtl/>
        </w:rPr>
        <w:t xml:space="preserve">التنازل (Assignment).</w:t>
      </w:r>
      <w:r>
        <w:rPr>
          <w:rFonts w:ascii="Arial" w:cs="Arial" w:eastAsia="Arial" w:hAnsi="Arial"/>
          <w:sz w:val="22"/>
          <w:szCs w:val="22"/>
          <w:rtl/>
        </w:rPr>
        <w:t xml:space="preserve"> لا يجوز للبائع التنازل عن أمر الشراء هذا أو أي حقوق بموجبه أو أي مبالغ مستحقة أو ستستحق بموجبه دون موافقة كتابية مسبقة من المشتري، ولا يكون أي تنازل مزعوم من البائع ملزمًا للمشتري دون موافقته الكتابية.</w:t>
      </w:r>
    </w:p>
    <w:p>
      <w:pPr>
        <w:pStyle w:val="ListParagraph"/>
        <w:numPr>
          <w:ilvl w:val="0"/>
          <w:numId w:val="7"/>
        </w:numPr>
        <w:bidi/>
        <w:spacing w:after="60" w:line="290"/>
        <w:jc w:val="start"/>
      </w:pPr>
      <w:r>
        <w:rPr>
          <w:rFonts w:ascii="Arial" w:cs="Arial" w:eastAsia="Arial" w:hAnsi="Arial"/>
          <w:b/>
          <w:bCs/>
          <w:sz w:val="22"/>
          <w:szCs w:val="22"/>
          <w:rtl/>
        </w:rPr>
        <w:t xml:space="preserve">القانون الحاكم واللغة (Governing Law and Language).</w:t>
      </w:r>
    </w:p>
    <w:p>
      <w:pPr>
        <w:pStyle w:val="ListParagraph"/>
        <w:numPr>
          <w:ilvl w:val="1"/>
          <w:numId w:val="2"/>
        </w:numPr>
        <w:bidi/>
        <w:spacing w:after="60" w:line="290"/>
        <w:jc w:val="start"/>
      </w:pPr>
      <w:r>
        <w:rPr>
          <w:rFonts w:ascii="Arial" w:cs="Arial" w:eastAsia="Arial" w:hAnsi="Arial"/>
          <w:sz w:val="22"/>
          <w:szCs w:val="22"/>
          <w:rtl/>
        </w:rPr>
        <w:t xml:space="preserve">ما لم يُنص على خلاف ذلك في متن أمر الشراء هذا، يخضع أمر الشراء هذا من جميع النواحي لقوانين مقاطعة كولومبيا (District of Columbia)، الولايات المتحدة الأمريكية، ويُفسَّر ويُنفَّذ وفقًا لها. وتُحل أي نزاعات أو مطالبات أو دعاوى أو إجراءات ناشئة عن أمر الشراء هذا أو متعلقة به أمام محكمة مختصة في مقاطعة كولومبيا حصرًا.</w:t>
      </w:r>
    </w:p>
    <w:p>
      <w:pPr>
        <w:pStyle w:val="ListParagraph"/>
        <w:numPr>
          <w:ilvl w:val="1"/>
          <w:numId w:val="2"/>
        </w:numPr>
        <w:bidi/>
        <w:spacing w:after="60" w:line="290"/>
        <w:jc w:val="start"/>
      </w:pPr>
      <w:r>
        <w:rPr>
          <w:rFonts w:ascii="Arial" w:cs="Arial" w:eastAsia="Arial" w:hAnsi="Arial"/>
          <w:sz w:val="22"/>
          <w:szCs w:val="22"/>
          <w:rtl/>
        </w:rPr>
        <w:t xml:space="preserve">في أي دعوى أو إجراء لإنفاذ الحقوق بموجب أمر الشراء هذا، يحق للطرف الكاسب استرداد التكاليف وأتعاب المحاماة.</w:t>
      </w:r>
    </w:p>
    <w:p>
      <w:pPr>
        <w:pStyle w:val="ListParagraph"/>
        <w:numPr>
          <w:ilvl w:val="1"/>
          <w:numId w:val="2"/>
        </w:numPr>
        <w:bidi/>
        <w:spacing w:after="60" w:line="290"/>
        <w:jc w:val="start"/>
      </w:pPr>
      <w:r>
        <w:rPr>
          <w:rFonts w:ascii="Arial" w:cs="Arial" w:eastAsia="Arial" w:hAnsi="Arial"/>
          <w:sz w:val="22"/>
          <w:szCs w:val="22"/>
          <w:rtl/>
        </w:rPr>
        <w:t xml:space="preserve">تكون جميع الإخطارات بموجب أحكام أمر الشراء هذا باللغة الإنكليزية.</w:t>
      </w:r>
    </w:p>
    <w:p>
      <w:pPr>
        <w:pStyle w:val="ListParagraph"/>
        <w:numPr>
          <w:ilvl w:val="0"/>
          <w:numId w:val="7"/>
        </w:numPr>
        <w:bidi/>
        <w:spacing w:after="60" w:line="290"/>
        <w:jc w:val="start"/>
      </w:pPr>
      <w:r>
        <w:rPr>
          <w:rFonts w:ascii="Arial" w:cs="Arial" w:eastAsia="Arial" w:hAnsi="Arial"/>
          <w:b/>
          <w:bCs/>
          <w:sz w:val="22"/>
          <w:szCs w:val="22"/>
          <w:rtl/>
        </w:rPr>
        <w:t xml:space="preserve">علاقة الطرفين (Relationship of the Parties).</w:t>
      </w:r>
      <w:r>
        <w:rPr>
          <w:rFonts w:ascii="Arial" w:cs="Arial" w:eastAsia="Arial" w:hAnsi="Arial"/>
          <w:sz w:val="22"/>
          <w:szCs w:val="22"/>
          <w:rtl/>
        </w:rPr>
        <w:t xml:space="preserve"> تكون علاقة البائع بالمشتري علاقة مقاول مستقل (independent contractor)، ولا يجوز تفسير أي مما ورد هنا على أنه ينشئ علاقة صاحب عمل/موظف أو وكالة أو أي علاقة أخرى من أي نوع. ويكون موظفو البائع ووكلاؤه و/أو ممثلوه (يُشار إليهم فيما بعد بـ "الموظفين") العاملون بموجب أمر الشراء هذا في جميع الأوقات تحت إدارة البائع وسيطرته، ويتعين على البائع إبلاغهم بذلك. ويدفع البائع جميع الأجور والرواتب والمبالغ الأخرى المستحقة لموظفيه فيما يتعلق بأمر الشراء هذا، ويكون مسؤولًا عن جميع التقارير والالتزامات المتعلقة بموظفيه، بما في ذلك على سبيل المثال لا الحصر الضمان الاجتماعي واستقطاعات ضريبة الدخل وتعويضات البطالة وتعويضات العمال وتقارير تكافؤ فرص العمل. ولا يُعد البائع بأي حال وكيلًا أو ممثلًا للمشتري ولا مفوَّضًا بإلزام المشتري بأي شكل.</w:t>
      </w:r>
    </w:p>
    <w:p>
      <w:pPr>
        <w:pStyle w:val="ListParagraph"/>
        <w:numPr>
          <w:ilvl w:val="0"/>
          <w:numId w:val="7"/>
        </w:numPr>
        <w:bidi/>
        <w:spacing w:after="60" w:line="290"/>
        <w:jc w:val="start"/>
      </w:pPr>
      <w:r>
        <w:rPr>
          <w:rFonts w:ascii="Arial" w:cs="Arial" w:eastAsia="Arial" w:hAnsi="Arial"/>
          <w:b/>
          <w:bCs/>
          <w:sz w:val="22"/>
          <w:szCs w:val="22"/>
          <w:rtl/>
        </w:rPr>
        <w:t xml:space="preserve">حقوق النشر (Copyrights).</w:t>
      </w:r>
      <w:r>
        <w:rPr>
          <w:rFonts w:ascii="Arial" w:cs="Arial" w:eastAsia="Arial" w:hAnsi="Arial"/>
          <w:sz w:val="22"/>
          <w:szCs w:val="22"/>
          <w:rtl/>
        </w:rPr>
        <w:t xml:space="preserve"> يوافق البائع على أن جميع المخرجات التي ينتجها البائع بموجب أمر الشراء هذا تُعد أعمالًا مأجورة (works for hire)، وبالتالي تكون ملكًا حصريًا للمشتري. ويكون للمشتري حقوق حصرية في استنساخ هذه المواد في أي بلد أو بلدان.</w:t>
      </w:r>
    </w:p>
    <w:p>
      <w:pPr>
        <w:pStyle w:val="ListParagraph"/>
        <w:numPr>
          <w:ilvl w:val="0"/>
          <w:numId w:val="7"/>
        </w:numPr>
        <w:bidi/>
        <w:spacing w:after="60" w:line="290"/>
        <w:jc w:val="start"/>
      </w:pPr>
      <w:r>
        <w:rPr>
          <w:rFonts w:ascii="Arial" w:cs="Arial" w:eastAsia="Arial" w:hAnsi="Arial"/>
          <w:b/>
          <w:bCs/>
          <w:sz w:val="22"/>
          <w:szCs w:val="22"/>
          <w:rtl/>
        </w:rPr>
        <w:t xml:space="preserve">الحقوق في البيانات (Rights in Data).</w:t>
      </w:r>
      <w:r>
        <w:rPr>
          <w:rFonts w:ascii="Arial" w:cs="Arial" w:eastAsia="Arial" w:hAnsi="Arial"/>
          <w:sz w:val="22"/>
          <w:szCs w:val="22"/>
          <w:rtl/>
        </w:rPr>
        <w:t xml:space="preserve"> يفهم البائع ويوافق على أنه يجوز لـ Creative بنفسها، وأن تسمح للآخرين، بمن فيهم الوكالات الحكومية في الولايات المتحدة وحكومات أجنبية أخرى، باستنساخ أي منشورات ومواد مقدَّمة بوسائل تشمل على سبيل المثال لا الحصر النشر والبث والترجمة وإنشاء نسخ أخرى والاقتباس منها، والانتفاع بخلاف ذلك بهذا العمل والمواد المبنية عليه. وخلال مدة سريان هذه الاتفاقية وبعدها، يوافق البائع على اتخاذ جميع الإجراءات وتنفيذ أي مستندات ترى Creative أنها ضرورية للحصول على حقوق النشر أو الحفاظ عليها، سواء أثناء طلب حقوق النشر أو أثناء إجراء نزاع أو تعدٍّ أو تقاضٍ أو مسألة أخرى (على أن تتحمل Creative جميع النفقات ذات الصلة). ويحدد البائع جميع المواد التي ينوي استثناءها من هذا الحكم قبل استخدام هذه المواد أو تطويرها. ويدافع البائع عن Creative ويعوّضها ويبرئها من جميع المطالبات والدعاوى والتكاليف والأضرار والنفقات التي قد تتكبدها Creative بسبب أي مادة فاضحة أو تشهيرية أو غير قانونية واردة أو مزعوم ورودها في العمل، أو أي تعدٍّ أو انتهاك من العمل لأي حق نشر أو حق ملكية؛ وإلى أن تتم تسوية هذه المطالبة أو الدعوى أو سحبها، يجوز لـ Creative حجز أي مبالغ مستحقة للبائع بموجب أمر الشراء هذا.</w:t>
      </w:r>
    </w:p>
    <w:p>
      <w:pPr>
        <w:pStyle w:val="ListParagraph"/>
        <w:numPr>
          <w:ilvl w:val="0"/>
          <w:numId w:val="7"/>
        </w:numPr>
        <w:bidi/>
        <w:spacing w:after="60" w:line="290"/>
        <w:jc w:val="start"/>
      </w:pPr>
      <w:r>
        <w:rPr>
          <w:rFonts w:ascii="Arial" w:cs="Arial" w:eastAsia="Arial" w:hAnsi="Arial"/>
          <w:b/>
          <w:bCs/>
          <w:sz w:val="22"/>
          <w:szCs w:val="22"/>
          <w:rtl/>
        </w:rPr>
        <w:t xml:space="preserve">براءات الاختراع (Patents).</w:t>
      </w:r>
      <w:r>
        <w:rPr>
          <w:rFonts w:ascii="Arial" w:cs="Arial" w:eastAsia="Arial" w:hAnsi="Arial"/>
          <w:sz w:val="22"/>
          <w:szCs w:val="22"/>
          <w:rtl/>
        </w:rPr>
        <w:t xml:space="preserve"> يضمن البائع أن بيع واستخدام كل وأي أصناف وأشياء تُسلَّم الآن أو لاحقًا بموجب هذا لن ينتهك أي براءة اختراع أو حق نشر؛ وأن البائع سيدافع، على نفقته الخاصة، عن أي دعوى أو قضية أو مطالبة أو يساعد في الدفاع عنها، بما في ذلك أي دعوى مرفوعة ضد المشتري أو حكومة الولايات المتحدة، يُزعم فيها حدوث انتهاك لأي براءة اختراع أو حق نشر فيما يتعلق ببيع أو استخدام هذه الأصناف أو الأشياء؛ وأن البائع سيعوّض المشتري وعملاءه ومستخدميه، بمن فيهم الحكومة، ويبرئهم من أي وجميع الخسائر والتكاليف والأضرار الناتجة عن انتهاك أو مزعوم انتهاك لأي براءة اختراع أو حق نشر بسبب بيع أو استخدام هذه الأصناف أو الأشياء.</w:t>
      </w:r>
    </w:p>
    <w:p>
      <w:pPr>
        <w:pStyle w:val="ListParagraph"/>
        <w:numPr>
          <w:ilvl w:val="0"/>
          <w:numId w:val="7"/>
        </w:numPr>
        <w:bidi/>
        <w:spacing w:after="60" w:line="290"/>
        <w:jc w:val="start"/>
      </w:pPr>
      <w:r>
        <w:rPr>
          <w:rFonts w:ascii="Arial" w:cs="Arial" w:eastAsia="Arial" w:hAnsi="Arial"/>
          <w:b/>
          <w:bCs/>
          <w:sz w:val="22"/>
          <w:szCs w:val="22"/>
          <w:rtl/>
        </w:rPr>
        <w:t xml:space="preserve">حقوق براءات الاختراع (Patent Rights).</w:t>
      </w:r>
      <w:r>
        <w:rPr>
          <w:rFonts w:ascii="Arial" w:cs="Arial" w:eastAsia="Arial" w:hAnsi="Arial"/>
          <w:sz w:val="22"/>
          <w:szCs w:val="22"/>
          <w:rtl/>
        </w:rPr>
        <w:t xml:space="preserve"> يفصح البائع فورًا للمشتري عن جميع الأفكار والاختراعات والاكتشافات والتحسينات، ويُشار إليها فيما يلي بـ "الاختراعات موضوع العقد" (Subject Inventions)، سواء أكانت قابلة للحصول على براءة أم لا، المتعلقة بالعمل بموجب هذا والتي تنشأ أثناء أدائه لعمله بموجب أمر الشراء هذا. ويوافق البائع على الاحتفاظ بسجل خطي لأنشطته الفنية، وتصبح جميع هذه السجلات وهذه الاختراعات موضوع العقد ملكًا حصريًا للمشتري. وخلال مدة أمر الشراء هذا أو بعدها، ينفّذ البائع ويسلّم للمشتري جميع المستندات ويتخذ الإجراءات الأخرى التي قد يطلبها المشتري بشكل معقول لمساعدته في الحصول على براءات الاختراع ونقل ملكية الاختراعات موضوع العقد إلى المشتري أو من يعيّنه.</w:t>
      </w:r>
    </w:p>
    <w:p>
      <w:pPr>
        <w:pStyle w:val="ListParagraph"/>
        <w:numPr>
          <w:ilvl w:val="0"/>
          <w:numId w:val="7"/>
        </w:numPr>
        <w:bidi/>
        <w:spacing w:after="60" w:line="290"/>
        <w:jc w:val="start"/>
      </w:pPr>
      <w:r>
        <w:rPr>
          <w:rFonts w:ascii="Arial" w:cs="Arial" w:eastAsia="Arial" w:hAnsi="Arial"/>
          <w:b/>
          <w:bCs/>
          <w:sz w:val="22"/>
          <w:szCs w:val="22"/>
          <w:rtl/>
        </w:rPr>
        <w:t xml:space="preserve">المعلومات الملكية (Proprietary Information).</w:t>
      </w:r>
      <w:r>
        <w:rPr>
          <w:rFonts w:ascii="Arial" w:cs="Arial" w:eastAsia="Arial" w:hAnsi="Arial"/>
          <w:sz w:val="22"/>
          <w:szCs w:val="22"/>
          <w:rtl/>
        </w:rPr>
        <w:t xml:space="preserve"> يوافق البائع على أن جميع المعلومات التي يفصح عنها البائع أو ممثلوه أو يحصلون عليها أو يكتشفونها، من مصادر تشمل على سبيل المثال لا الحصر الرسومات والمطبوعات والمنشورات والمواصفات والعمليات وتقنيات التصنيع والشروحات الشفهية والجداول الزمنية وما شابه، نتيجة لأمر الشراء هذا، تُستلم بسرية وهي ملكية خاصة للمشتري، وأنه لا يجوز للبائع استنساخ هذه المعلومات أو استخدامها أو نقلها أو الإفصاح عنها لأي شخص أو منظمة دون موافقة كتابية مسبقة من المشتري؛ شريطة، مع ذلك، أنه بناءً على إخطار كتابي مسبق للمشتري، يحق للبائع استخدام هذه المعلومات في تصنيع بنود نهائية للبيع المباشر للحكومة بالقدر الذي يحق فيه للحكومة الإذن بهذا الاستخدام من البائع، وشريطة كذلك أن يكون البائع قد حدد للمشتري المعلومات المزمع استخدامها، وبالقدر العملي أن يحدد بشكل بارز كل بند نهائي على أنه مصنَّع من البائع للبيع المباشر إلى حكومة الولايات المتحدة.</w:t>
      </w:r>
    </w:p>
    <w:p>
      <w:pPr>
        <w:pStyle w:val="ListParagraph"/>
        <w:numPr>
          <w:ilvl w:val="0"/>
          <w:numId w:val="7"/>
        </w:numPr>
        <w:bidi/>
        <w:spacing w:after="60" w:line="290"/>
        <w:jc w:val="start"/>
      </w:pPr>
      <w:r>
        <w:rPr>
          <w:rFonts w:ascii="Arial" w:cs="Arial" w:eastAsia="Arial" w:hAnsi="Arial"/>
          <w:b/>
          <w:bCs/>
          <w:sz w:val="22"/>
          <w:szCs w:val="22"/>
          <w:rtl/>
        </w:rPr>
        <w:t xml:space="preserve">التنازل عن الحقوق (Waiver).</w:t>
      </w:r>
      <w:r>
        <w:rPr>
          <w:rFonts w:ascii="Arial" w:cs="Arial" w:eastAsia="Arial" w:hAnsi="Arial"/>
          <w:sz w:val="22"/>
          <w:szCs w:val="22"/>
          <w:rtl/>
        </w:rPr>
        <w:t xml:space="preserve"> إن عدم إصرار المشتري في حالة أو أكثر على أداء أي من شروط أو أحكام أمر الشراء هذا، أو عدم ممارسته أي حق أو امتياز وارد في أمر الشراء هذا، أو التنازل عن أي إخلال بشروط أو أحكام أمر الشراء هذا، لا يُفسَّر على أنه تنازل لاحق عن أي من تلك الشروط أو الأحكام أو الحقوق أو الامتيازات، وتظل هي نفسها سارية ونافذة كما لو لم يحدث تنازل.</w:t>
      </w:r>
    </w:p>
    <w:p>
      <w:pPr>
        <w:pStyle w:val="ListParagraph"/>
        <w:numPr>
          <w:ilvl w:val="0"/>
          <w:numId w:val="7"/>
        </w:numPr>
        <w:bidi/>
        <w:spacing w:after="60" w:line="290"/>
        <w:jc w:val="start"/>
      </w:pPr>
      <w:r>
        <w:rPr>
          <w:rFonts w:ascii="Arial" w:cs="Arial" w:eastAsia="Arial" w:hAnsi="Arial"/>
          <w:b/>
          <w:bCs/>
          <w:sz w:val="22"/>
          <w:szCs w:val="22"/>
          <w:rtl/>
        </w:rPr>
        <w:t xml:space="preserve">مخاطر الفقدان (Risk of Loss).</w:t>
      </w:r>
      <w:r>
        <w:rPr>
          <w:rFonts w:ascii="Arial" w:cs="Arial" w:eastAsia="Arial" w:hAnsi="Arial"/>
          <w:sz w:val="22"/>
          <w:szCs w:val="22"/>
          <w:rtl/>
        </w:rPr>
        <w:t xml:space="preserve"> يتحمل البائع كامل مخاطر الفقدان للمستلزمات التي يقتضيها أمر الشراء هذا إلى حين القبول النهائي من المشتري أو من طرف ثالث معيَّن في الوجهة، ما لم يُنص على خلاف ذلك في أمر الشراء هذا، باستثناء الفقدان الناجم عن إهمال جسيم من المشتري. ويتحمل البائع أيضًا جميع مخاطر الإصابة الشخصية، وجميع مخاطر تلف أو فقدان الممتلكات الشخصية التي يوفرها.</w:t>
      </w:r>
    </w:p>
    <w:p>
      <w:pPr>
        <w:pStyle w:val="ListParagraph"/>
        <w:numPr>
          <w:ilvl w:val="0"/>
          <w:numId w:val="7"/>
        </w:numPr>
        <w:bidi/>
        <w:spacing w:after="60" w:line="290"/>
        <w:jc w:val="start"/>
      </w:pPr>
      <w:r>
        <w:rPr>
          <w:rFonts w:ascii="Arial" w:cs="Arial" w:eastAsia="Arial" w:hAnsi="Arial"/>
          <w:b/>
          <w:bCs/>
          <w:sz w:val="22"/>
          <w:szCs w:val="22"/>
          <w:rtl/>
        </w:rPr>
        <w:t xml:space="preserve">المسؤولية عن الإصابات (Liability for Injury).</w:t>
      </w:r>
      <w:r>
        <w:rPr>
          <w:rFonts w:ascii="Arial" w:cs="Arial" w:eastAsia="Arial" w:hAnsi="Arial"/>
          <w:sz w:val="22"/>
          <w:szCs w:val="22"/>
          <w:rtl/>
        </w:rPr>
        <w:t xml:space="preserve"> يوافق البائع على أن يكون مسؤولًا عن، وأن يعوّض ويبرئ، المشتري وموظفيه وعملاءه من أي وجميع الإصابات والوفاة والأضرار والخسائر التي تلحق بالأشخاص أو الممتلكات الناشئة عن العمل الذي يؤديه البائع بموجب أمر الشراء أو المرتبطة به، سواء أُدّي في مقر البائع أو المشتري أو في مكان آخر. ويوافق البائع على حمل وصيانة تغطيات تأمينية مرضية للمشتري لتغطية ما سبق، وعلى تزويد المشتري، بناءً على طلبه، بشهادات أو أدلة مناسبة أخرى على هذا التأمين.</w:t>
      </w:r>
    </w:p>
    <w:p>
      <w:pPr>
        <w:pStyle w:val="ListParagraph"/>
        <w:numPr>
          <w:ilvl w:val="0"/>
          <w:numId w:val="7"/>
        </w:numPr>
        <w:bidi/>
        <w:spacing w:after="60" w:line="290"/>
        <w:jc w:val="start"/>
      </w:pPr>
      <w:r>
        <w:rPr>
          <w:rFonts w:ascii="Arial" w:cs="Arial" w:eastAsia="Arial" w:hAnsi="Arial"/>
          <w:b/>
          <w:bCs/>
          <w:sz w:val="22"/>
          <w:szCs w:val="22"/>
          <w:rtl/>
        </w:rPr>
        <w:t xml:space="preserve">إشعار النزاعات العمالية (Notice of Labor Disputes).</w:t>
      </w:r>
      <w:r>
        <w:rPr>
          <w:rFonts w:ascii="Arial" w:cs="Arial" w:eastAsia="Arial" w:hAnsi="Arial"/>
          <w:sz w:val="22"/>
          <w:szCs w:val="22"/>
          <w:rtl/>
        </w:rPr>
        <w:t xml:space="preserve"> كلما كان نزاع عمالي فعلي أو محتمل يؤخر أو يهدد بتأخير الأداء في الوقت المناسب لأمر الشراء هذا، يجب على البائع أن يبلّغ المشتري بذلك فورًا. ويجب أن يتضمن هذا الإشعار جميع المعلومات ذات الصلة بهذا النزاع.</w:t>
      </w:r>
    </w:p>
    <w:p>
      <w:pPr>
        <w:pStyle w:val="ListParagraph"/>
        <w:numPr>
          <w:ilvl w:val="0"/>
          <w:numId w:val="7"/>
        </w:numPr>
        <w:bidi/>
        <w:spacing w:after="60" w:line="290"/>
        <w:jc w:val="start"/>
      </w:pPr>
      <w:r>
        <w:rPr>
          <w:rFonts w:ascii="Arial" w:cs="Arial" w:eastAsia="Arial" w:hAnsi="Arial"/>
          <w:b/>
          <w:bCs/>
          <w:sz w:val="22"/>
          <w:szCs w:val="22"/>
          <w:rtl/>
        </w:rPr>
        <w:t xml:space="preserve">الفحص (Inspection).</w:t>
      </w:r>
      <w:r>
        <w:rPr>
          <w:rFonts w:ascii="Arial" w:cs="Arial" w:eastAsia="Arial" w:hAnsi="Arial"/>
          <w:sz w:val="22"/>
          <w:szCs w:val="22"/>
          <w:rtl/>
        </w:rPr>
        <w:t xml:space="preserve"> تخضع جميع المستلزمات والخدمات للفحص والاختبار من المشتري وعملائه والمقاولين الأعلى مستوى وحكومة الولايات المتحدة، في جميع الأوقات والأماكن التي قد تطلبها هذه الأطراف. ويوفر البائع، دون رسوم إضافية، جميع التسهيلات والمساعدة المعقولة لسلامة وراحة الأطراف السابقة في إجراء هذه الفحوص والاختبارات. وفي حال كانت أي مستلزمات أو خدمات معيبة في جودة الصنعة أو المواد أو غير مطابقة بخلاف ذلك لمتطلبات أمر الشراء هذا، يكون للمشتري، إضافة إلى أي حقوق أخرى، الحق في: (i) رفضها وفسخ أمر الشراء فيما يخص المستلزمات أو الخدمات المرفوضة؛ أو (ii) رفضها وطلب تصحيحها من البائع؛ أو (iii) قبولها وخصم تكلفة معالجة العيب من المبلغ المستحق للبائع. وإذا اختار المشتري ما ورد في (ii) أعلاه، يستبدلها البائع فورًا بمستلزمات أو خدمات مقبولة للمشتري وفق تعليمات المشتري دون أي نفقة على المشتري. وإذا أخفق البائع في استبدال أو تصحيح هذه المستلزمات أو الخدمات فورًا وفق تعليمات المشتري، يجوز للمشتري (i) أن يستبدل هذه المستلزمات أو الخدمات أو يصححها بعقد أو بغيره ويحمّل البائع التكلفة التي تكبدها المشتري بسبب ذلك، أو (ii) أن ينهي أمر الشراء هذا للتقصير وفق البند المعنون "الإنهاء" (Termination). ويُقدَّم إخطار الرفض السابق مع استبدال المستلزمات والخدمات المرفوضة. ويجري الفحص والقبول النهائيان من المشتري أو أطراف ثالثة معيَّنة في الوجهة ما لم يُنص على خلاف ذلك في أمر الشراء هذا. ويوفر البائع نظام فحص مقبولًا للمشتري ويحافظ عليه. وتُحفظ سجلات جميع أعمال الفحص التي يجريها البائع كاملة ومتاحة للمشتري خلال تنفيذ أمر الشراء هذا ولمدة أطول يحددها المشتري. ولا يعفي أي فحص (بما في ذلك فحص المصدر والاختبارات والموافقة بما فيها موافقة التصميم) أو قبول من أي من الأطراف السابقة البائع من المسؤولية عن جميع العيوب أو أي إخفاق آخر في استيفاء متطلبات أمر الشراء هذا أو من أي ضمانات. والحقوق بموجب هذا تراكمية وإضافة إلى أي حقوق أو تعويضات أخرى منصوص عليها في أمر الشراء هذا أو في القانون أو الإنصاف.</w:t>
      </w:r>
    </w:p>
    <w:p>
      <w:pPr>
        <w:pStyle w:val="ListParagraph"/>
        <w:numPr>
          <w:ilvl w:val="0"/>
          <w:numId w:val="7"/>
        </w:numPr>
        <w:bidi/>
        <w:spacing w:after="60" w:line="290"/>
        <w:jc w:val="start"/>
      </w:pPr>
      <w:r>
        <w:rPr>
          <w:rFonts w:ascii="Arial" w:cs="Arial" w:eastAsia="Arial" w:hAnsi="Arial"/>
          <w:b/>
          <w:bCs/>
          <w:sz w:val="22"/>
          <w:szCs w:val="22"/>
          <w:rtl/>
        </w:rPr>
        <w:t xml:space="preserve">الضمان (Warranty).</w:t>
      </w:r>
      <w:r>
        <w:rPr>
          <w:rFonts w:ascii="Arial" w:cs="Arial" w:eastAsia="Arial" w:hAnsi="Arial"/>
          <w:sz w:val="22"/>
          <w:szCs w:val="22"/>
          <w:rtl/>
        </w:rPr>
        <w:t xml:space="preserve"> ما لم يتفق الطرفان كتابةً على خلاف ذلك، يضمن البائع أن الأصناف المطلوبة بمواصفات ستتطابق معها ومع أي رسم أو عينات أو وصف آخر يقدمه المشتري أو يعتمده، أو إن لم تكن مطلوبة بمواصفات فستكون صالحة وكافية للغرض المقصود، وأن جميع الأصناف ستكون قابلة للتسويق ومن مواد وصنعة جيدة وخالية من العيوب. وتبقى هذه الضمانات، مع ضمانات وكفالات الخدمة الخاصة بالبائع إن وجدت، سارية بعد الفحص والاختبار وقبول الأصناف ودفع ثمنها، وتسري لصالح المشتري وخلفائه والمتنازل لهم وعملائه. وباستثناء العيوب الكامنة أو الاحتيال أو أخطاء البائع الجسيمة التي ترقى إلى الاحتيال، يجب أن يخطر المشتري البائع بأي عيب أو عدم مطابقة خلال سنة واحدة (1) من التسليم، أو سنة واحدة (1) من استلام تقارير اختبار التأهيل المرضية، إذا كانت مطلوبة بموجب هذا، أيهما أحدث. ويجوز للمشتري، وفق خياره، إما إعادة الصنف للحصول على رصيد أو استرداد، أو طلب التصحيح أو الاستبدال الفوري للصنف المعيب أو غير المطابق أو الجزء منه. وتكون إعادة أي صنف معيب أو غير مطابق إلى البائع وتسليم أي أصناف مصححة أو مستبدلة إلى المشتري على نفقة البائع. ولن تُصحَّح أو تُستبدل الأصناف المعيبة أو غير المطابقة ما لم يُحدَّد ذلك في أمر الشراء الخطي للمشتري. وتخضع الأصناف المطلوب تصحيحها أو استبدالها لأحكام هذا البند والبند المعنون "الفحص" بالطريقة نفسها وبالقدر نفسه كالأصناف المسلَّمة أصلًا بموجب أمر الشراء هذا، ولكن فقط فيما يتعلق بالجزء أو الأجزاء المصححة أو المستبدلة.</w:t>
      </w:r>
    </w:p>
    <w:p>
      <w:pPr>
        <w:pStyle w:val="ListParagraph"/>
        <w:numPr>
          <w:ilvl w:val="0"/>
          <w:numId w:val="7"/>
        </w:numPr>
        <w:bidi/>
        <w:spacing w:after="60" w:line="290"/>
        <w:jc w:val="start"/>
      </w:pPr>
      <w:r>
        <w:rPr>
          <w:rFonts w:ascii="Arial" w:cs="Arial" w:eastAsia="Arial" w:hAnsi="Arial"/>
          <w:b/>
          <w:bCs/>
          <w:sz w:val="22"/>
          <w:szCs w:val="22"/>
          <w:rtl/>
        </w:rPr>
        <w:t xml:space="preserve">المعايير المهنية (Professional Standards).</w:t>
      </w:r>
    </w:p>
    <w:p>
      <w:pPr>
        <w:pStyle w:val="ListParagraph"/>
        <w:numPr>
          <w:ilvl w:val="1"/>
          <w:numId w:val="2"/>
        </w:numPr>
        <w:bidi/>
        <w:spacing w:after="60" w:line="290"/>
        <w:jc w:val="start"/>
      </w:pPr>
      <w:r>
        <w:rPr>
          <w:rFonts w:ascii="Arial" w:cs="Arial" w:eastAsia="Arial" w:hAnsi="Arial"/>
          <w:sz w:val="22"/>
          <w:szCs w:val="22"/>
          <w:rtl/>
        </w:rPr>
        <w:t xml:space="preserve">يوافق المشتري ويقرّ بأن: (a) إبرام أمر الشراء هذا وأداء الواجبات والخدمات المتوقعة بموجبه لن يخلق تضارب مصالح للبائع أو المشتري؛ و(b) ستُراعى وتُطبق جميع القوانين والأنظمة المعمول بها التي تحكم سلوك مقاولي الحكومة.</w:t>
      </w:r>
    </w:p>
    <w:p>
      <w:pPr>
        <w:pStyle w:val="ListParagraph"/>
        <w:numPr>
          <w:ilvl w:val="1"/>
          <w:numId w:val="2"/>
        </w:numPr>
        <w:bidi/>
        <w:spacing w:after="60" w:line="290"/>
        <w:jc w:val="start"/>
      </w:pPr>
      <w:r>
        <w:rPr>
          <w:rFonts w:ascii="Arial" w:cs="Arial" w:eastAsia="Arial" w:hAnsi="Arial"/>
          <w:sz w:val="22"/>
          <w:szCs w:val="22"/>
          <w:rtl/>
        </w:rPr>
        <w:t xml:space="preserve">يدرك البائع أنه قد يكون من الضروري أن يفصح المشتري للسلطات المختصة عن واقعة الاستعانة بالبائع والواجبات التي أداها البائع والتعويض المدفوع للبائع. ويوافق البائع بموجب هذا على الإفصاح عن هذه المعلومات والمعلومات ذات الصلة إذا رأى المشتري أن ذلك في مصلحته.</w:t>
      </w:r>
    </w:p>
    <w:p>
      <w:pPr>
        <w:pStyle w:val="ListParagraph"/>
        <w:numPr>
          <w:ilvl w:val="0"/>
          <w:numId w:val="7"/>
        </w:numPr>
        <w:bidi/>
        <w:spacing w:after="60" w:line="290"/>
        <w:jc w:val="start"/>
      </w:pPr>
      <w:r>
        <w:rPr>
          <w:rFonts w:ascii="Arial" w:cs="Arial" w:eastAsia="Arial" w:hAnsi="Arial"/>
          <w:b/>
          <w:bCs/>
          <w:sz w:val="22"/>
          <w:szCs w:val="22"/>
          <w:rtl/>
        </w:rPr>
        <w:t xml:space="preserve">الأنشطة المحظورة (Prohibited Activities).</w:t>
      </w:r>
      <w:r>
        <w:rPr>
          <w:rFonts w:ascii="Arial" w:cs="Arial" w:eastAsia="Arial" w:hAnsi="Arial"/>
          <w:sz w:val="22"/>
          <w:szCs w:val="22"/>
          <w:rtl/>
        </w:rPr>
        <w:t xml:space="preserve"> يوافق البائع على ألا يقدّم أيًا من الخدمات التالية بموجب أمر الشراء هذا، وأن المشتري لن يدفع مقابل هذه الخدمات:</w:t>
      </w:r>
    </w:p>
    <w:p>
      <w:pPr>
        <w:pStyle w:val="ListParagraph"/>
        <w:numPr>
          <w:ilvl w:val="1"/>
          <w:numId w:val="2"/>
        </w:numPr>
        <w:bidi/>
        <w:spacing w:after="60" w:line="290"/>
        <w:jc w:val="start"/>
      </w:pPr>
      <w:r>
        <w:rPr>
          <w:rFonts w:ascii="Arial" w:cs="Arial" w:eastAsia="Arial" w:hAnsi="Arial"/>
          <w:sz w:val="22"/>
          <w:szCs w:val="22"/>
          <w:rtl/>
        </w:rPr>
        <w:t xml:space="preserve">(i) خدمات للحصول بشكل غير سليم على معلومات أو بيانات محمية بموجب القانون أو اللائحة أو توزيعها أو استخدامها؛</w:t>
      </w:r>
    </w:p>
    <w:p>
      <w:pPr>
        <w:pStyle w:val="ListParagraph"/>
        <w:numPr>
          <w:ilvl w:val="1"/>
          <w:numId w:val="2"/>
        </w:numPr>
        <w:bidi/>
        <w:spacing w:after="60" w:line="290"/>
        <w:jc w:val="start"/>
      </w:pPr>
      <w:r>
        <w:rPr>
          <w:rFonts w:ascii="Arial" w:cs="Arial" w:eastAsia="Arial" w:hAnsi="Arial"/>
          <w:sz w:val="22"/>
          <w:szCs w:val="22"/>
          <w:rtl/>
        </w:rPr>
        <w:t xml:space="preserve">(ii) خدمات يُقصد بها التأثير بشكل غير سليم على محتويات المناقصات أو تقييم العروض أو عروض الأسعار أو اختيار المصادر لترسية العقود من قِبل الحكومة أو مقاول رئيسي أو مقاول من الباطن؛</w:t>
      </w:r>
    </w:p>
    <w:p>
      <w:pPr>
        <w:pStyle w:val="ListParagraph"/>
        <w:numPr>
          <w:ilvl w:val="1"/>
          <w:numId w:val="2"/>
        </w:numPr>
        <w:bidi/>
        <w:spacing w:after="60" w:line="290"/>
        <w:jc w:val="start"/>
      </w:pPr>
      <w:r>
        <w:rPr>
          <w:rFonts w:ascii="Arial" w:cs="Arial" w:eastAsia="Arial" w:hAnsi="Arial"/>
          <w:sz w:val="22"/>
          <w:szCs w:val="22"/>
          <w:rtl/>
        </w:rPr>
        <w:t xml:space="preserve">(iii) أي نشاط ينتج عنه انتهاك لأي قانون أو لائحة تحظر ممارسات الأعمال غير السليمة أو تضارب المصالح؛</w:t>
      </w:r>
    </w:p>
    <w:p>
      <w:pPr>
        <w:pStyle w:val="ListParagraph"/>
        <w:numPr>
          <w:ilvl w:val="1"/>
          <w:numId w:val="2"/>
        </w:numPr>
        <w:bidi/>
        <w:spacing w:after="60" w:line="290"/>
        <w:jc w:val="start"/>
      </w:pPr>
      <w:r>
        <w:rPr>
          <w:rFonts w:ascii="Arial" w:cs="Arial" w:eastAsia="Arial" w:hAnsi="Arial"/>
          <w:sz w:val="22"/>
          <w:szCs w:val="22"/>
          <w:rtl/>
        </w:rPr>
        <w:t xml:space="preserve">(iv) خدمات لا تتفق مع غرض ونطاق تلك المتعاقد عليها بموجب أمر الشراء هذا.</w:t>
      </w:r>
    </w:p>
    <w:p>
      <w:pPr>
        <w:pStyle w:val="ListParagraph"/>
        <w:numPr>
          <w:ilvl w:val="0"/>
          <w:numId w:val="7"/>
        </w:numPr>
        <w:bidi/>
        <w:spacing w:after="60" w:line="290"/>
        <w:jc w:val="start"/>
      </w:pPr>
      <w:r>
        <w:rPr>
          <w:rFonts w:ascii="Arial" w:cs="Arial" w:eastAsia="Arial" w:hAnsi="Arial"/>
          <w:b/>
          <w:bCs/>
          <w:sz w:val="22"/>
          <w:szCs w:val="22"/>
          <w:rtl/>
        </w:rPr>
        <w:t xml:space="preserve">أمر إيقاف العمل (Stop Work Order).</w:t>
      </w:r>
    </w:p>
    <w:p>
      <w:pPr>
        <w:pStyle w:val="ListParagraph"/>
        <w:numPr>
          <w:ilvl w:val="1"/>
          <w:numId w:val="2"/>
        </w:numPr>
        <w:bidi/>
        <w:spacing w:after="60" w:line="290"/>
        <w:jc w:val="start"/>
      </w:pPr>
      <w:r>
        <w:rPr>
          <w:rFonts w:ascii="Arial" w:cs="Arial" w:eastAsia="Arial" w:hAnsi="Arial"/>
          <w:sz w:val="22"/>
          <w:szCs w:val="22"/>
          <w:rtl/>
        </w:rPr>
        <w:t xml:space="preserve">يجوز للمشتري، في أي وقت، بإخطار خطي للبائع، أن يطلب من البائع إيقاف كل العمل المطلوب بموجب هذا الأمر أو أي جزء منه لمدة تصل إلى تسعين (90) يومًا بعد تسليم الإخطار الخطي للبائع، ولأي مدة إضافية قد تكون مطلوبة. ويجب أن يُحدَّد الإخطار تحديدًا على أنه أمر إيقاف عمل (Stop-Work Order – SWO) صادر بموجب هذا البند. وعند استلام SWO، يمتثل البائع فورًا لشروطه ويتخذ جميع الخطوات المعقولة لتقليل تكبد التكاليف المنسوبة إلى العمل المشمول بالـ SWO خلال فترة توقف العمل. وخلال المدة المحددة في SWO بعد تسليمه للبائع، أو خلال أي تمديد لتلك المدة، يقوم المشتري إما (1) بإلغاء SWO أو (2) بإنهاء العمل المشمول بالـ SWO وفق بند "الإنهاء" المعمول به الوارد هنا.</w:t>
      </w:r>
    </w:p>
    <w:p>
      <w:pPr>
        <w:pStyle w:val="ListParagraph"/>
        <w:numPr>
          <w:ilvl w:val="1"/>
          <w:numId w:val="2"/>
        </w:numPr>
        <w:bidi/>
        <w:spacing w:after="60" w:line="290"/>
        <w:jc w:val="start"/>
      </w:pPr>
      <w:r>
        <w:rPr>
          <w:rFonts w:ascii="Arial" w:cs="Arial" w:eastAsia="Arial" w:hAnsi="Arial"/>
          <w:sz w:val="22"/>
          <w:szCs w:val="22"/>
          <w:rtl/>
        </w:rPr>
        <w:t xml:space="preserve">إذا أُلغي SWO الصادر بموجب هذا البند أو انقضت مدة ذلك الـ SWO أو أي تمديد له، يستأنف البائع العمل. ويجري المشتري تعديلًا عادلًا في جدول التسليم أو سعر أمر الشراء، أو كليهما، ويُعدَّل هذا الأمر كتابةً وفقًا لذلك إذا (1) نتج عن SWO زيادة في الوقت المطلوب لأداء أي جزء من هذا الأمر أو في تكلفة البائع المنسوبة على نحو سليم إليه؛ و(2) طالب البائع بحقه في التعديل خلال عشرين (20) يومًا بعد نهاية فترة توقف العمل.</w:t>
      </w:r>
    </w:p>
    <w:p>
      <w:pPr>
        <w:pStyle w:val="ListParagraph"/>
        <w:numPr>
          <w:ilvl w:val="0"/>
          <w:numId w:val="7"/>
        </w:numPr>
        <w:bidi/>
        <w:spacing w:after="60" w:line="290"/>
        <w:jc w:val="start"/>
      </w:pPr>
      <w:r>
        <w:rPr>
          <w:rFonts w:ascii="Arial" w:cs="Arial" w:eastAsia="Arial" w:hAnsi="Arial"/>
          <w:b/>
          <w:bCs/>
          <w:sz w:val="22"/>
          <w:szCs w:val="22"/>
          <w:rtl/>
        </w:rPr>
        <w:t xml:space="preserve">التأخر في التسليم والغرامة (Late Delivery and Penalty).</w:t>
      </w:r>
      <w:r>
        <w:rPr>
          <w:rFonts w:ascii="Arial" w:cs="Arial" w:eastAsia="Arial" w:hAnsi="Arial"/>
          <w:sz w:val="22"/>
          <w:szCs w:val="22"/>
          <w:rtl/>
        </w:rPr>
        <w:t xml:space="preserve"> إذا أخفق مقدّم العرض في تسليم المستلزمات أو أداء الخدمات خلال الوقت المحدد في هذه الاتفاقية، باستثناء القوة القاهرة (Force Majeure)، يجوز لـ Creative أن تطلب من مقدّم العرض دفع تعويضات مقطوعة (liquidated damages)، بدلًا من الأضرار الفعلية، بمبلغ 0.5% من القيمة الإجمالية لأمر الشراء الذي تأخر تسليمه. وإذا أنهت Creative هذه الاتفاقية كليًا أو جزئيًا للتقصير، كما هو منصوص عليه في القسم 29 أدناه، يكون مقدّم العرض مسؤولًا عن التعويضات المقطوعة المتراكمة إلى أن تحصل Creative بشكل معقول على التسليم أو الأداء من مقدّم عرض آخر. وتكون هذه التعويضات المقطوعة إضافة إلى أي تكاليف زائدة لإعادة الشراء. ولا يُحمَّل مقدّم العرض تعويضات مقطوعة عندما يكون التأخر في التسليم أو الأداء خارجًا عن سيطرته ودون خطأ أو إهمال منه.</w:t>
      </w:r>
    </w:p>
    <w:p>
      <w:pPr>
        <w:pStyle w:val="ListParagraph"/>
        <w:numPr>
          <w:ilvl w:val="0"/>
          <w:numId w:val="7"/>
        </w:numPr>
        <w:bidi/>
        <w:spacing w:after="60" w:line="290"/>
        <w:jc w:val="start"/>
      </w:pPr>
      <w:r>
        <w:rPr>
          <w:rFonts w:ascii="Arial" w:cs="Arial" w:eastAsia="Arial" w:hAnsi="Arial"/>
          <w:b/>
          <w:bCs/>
          <w:sz w:val="22"/>
          <w:szCs w:val="22"/>
          <w:rtl/>
        </w:rPr>
        <w:t xml:space="preserve">الإنهاء (Termination).</w:t>
      </w:r>
      <w:r>
        <w:rPr>
          <w:rFonts w:ascii="Arial" w:cs="Arial" w:eastAsia="Arial" w:hAnsi="Arial"/>
          <w:sz w:val="22"/>
          <w:szCs w:val="22"/>
          <w:rtl/>
        </w:rPr>
        <w:t xml:space="preserve"> يجوز لـ Creative إنهاء أداء العمل بموجب أمر الشراء هذا، كليًا أو جزئيًا، على النحو التالي:</w:t>
      </w:r>
    </w:p>
    <w:p>
      <w:pPr>
        <w:pStyle w:val="ListParagraph"/>
        <w:numPr>
          <w:ilvl w:val="1"/>
          <w:numId w:val="2"/>
        </w:numPr>
        <w:bidi/>
        <w:spacing w:after="60" w:line="290"/>
        <w:jc w:val="start"/>
      </w:pPr>
      <w:r>
        <w:rPr>
          <w:rFonts w:ascii="Arial" w:cs="Arial" w:eastAsia="Arial" w:hAnsi="Arial"/>
          <w:sz w:val="22"/>
          <w:szCs w:val="22"/>
          <w:rtl/>
        </w:rPr>
        <w:t xml:space="preserve">i. إذا أنهت حكومة الولايات المتحدة كليًا أو جزئيًا أداء أو تمويل الاتفاقية الرئيسية (prime agreement) أو أمر المهمة المرتبط الذي يصرَّح بموجبه أمر الشراء هذا؛</w:t>
      </w:r>
    </w:p>
    <w:p>
      <w:pPr>
        <w:pStyle w:val="ListParagraph"/>
        <w:numPr>
          <w:ilvl w:val="1"/>
          <w:numId w:val="2"/>
        </w:numPr>
        <w:bidi/>
        <w:spacing w:after="60" w:line="290"/>
        <w:jc w:val="start"/>
      </w:pPr>
      <w:r>
        <w:rPr>
          <w:rFonts w:ascii="Arial" w:cs="Arial" w:eastAsia="Arial" w:hAnsi="Arial"/>
          <w:sz w:val="22"/>
          <w:szCs w:val="22"/>
          <w:rtl/>
        </w:rPr>
        <w:t xml:space="preserve">ii. إذا أمرت حكومة الولايات المتحدة بإنهاء أمر الشراء؛</w:t>
      </w:r>
    </w:p>
    <w:p>
      <w:pPr>
        <w:pStyle w:val="ListParagraph"/>
        <w:numPr>
          <w:ilvl w:val="1"/>
          <w:numId w:val="2"/>
        </w:numPr>
        <w:bidi/>
        <w:spacing w:after="60" w:line="290"/>
        <w:jc w:val="start"/>
      </w:pPr>
      <w:r>
        <w:rPr>
          <w:rFonts w:ascii="Arial" w:cs="Arial" w:eastAsia="Arial" w:hAnsi="Arial"/>
          <w:sz w:val="22"/>
          <w:szCs w:val="22"/>
          <w:rtl/>
        </w:rPr>
        <w:t xml:space="preserve">iii. إذا أنهت حكومة الولايات المتحدة نطاق العمل أو المخرجات في الاتفاقية الرئيسية التي يدعمها أمر الشراء هذا؛</w:t>
      </w:r>
    </w:p>
    <w:p>
      <w:pPr>
        <w:pStyle w:val="ListParagraph"/>
        <w:numPr>
          <w:ilvl w:val="1"/>
          <w:numId w:val="2"/>
        </w:numPr>
        <w:bidi/>
        <w:spacing w:after="60" w:line="290"/>
        <w:jc w:val="start"/>
      </w:pPr>
      <w:r>
        <w:rPr>
          <w:rFonts w:ascii="Arial" w:cs="Arial" w:eastAsia="Arial" w:hAnsi="Arial"/>
          <w:sz w:val="22"/>
          <w:szCs w:val="22"/>
          <w:rtl/>
        </w:rPr>
        <w:t xml:space="preserve">iv. </w:t>
      </w:r>
      <w:r>
        <w:rPr>
          <w:rFonts w:ascii="Arial" w:cs="Arial" w:eastAsia="Arial" w:hAnsi="Arial"/>
          <w:b/>
          <w:bCs/>
          <w:sz w:val="22"/>
          <w:szCs w:val="22"/>
          <w:rtl/>
        </w:rPr>
        <w:t xml:space="preserve">الإنهاء للتقصير (Termination for Default).</w:t>
      </w:r>
      <w:r>
        <w:rPr>
          <w:rFonts w:ascii="Arial" w:cs="Arial" w:eastAsia="Arial" w:hAnsi="Arial"/>
          <w:sz w:val="22"/>
          <w:szCs w:val="22"/>
          <w:rtl/>
        </w:rPr>
        <w:t xml:space="preserve"> إذا قصّر البائع في الأداء بموجب شروط أمر الشراء هذا وأخفق في معالجة التقصير خلال عشرة (10) أيام بعد استلام إخطار رسمي من Creative يحدد التقصير، ويشمل ذلك: (1) إخفاق البائع في إحراز تقدم في العمل بما يعرّض الأداء للخطر؛ أو (2) سوء سلوك البائع، بما في ذلك عدم الامتثال لمدونة سلوك Creative أو ارتكاب أي فعل غير قانوني أو أسباب أخرى ضمن سيطرة البائع.</w:t>
      </w:r>
    </w:p>
    <w:p>
      <w:pPr>
        <w:pStyle w:val="ListParagraph"/>
        <w:numPr>
          <w:ilvl w:val="1"/>
          <w:numId w:val="2"/>
        </w:numPr>
        <w:bidi/>
        <w:spacing w:after="60" w:line="290"/>
        <w:jc w:val="start"/>
      </w:pPr>
      <w:r>
        <w:rPr>
          <w:rFonts w:ascii="Arial" w:cs="Arial" w:eastAsia="Arial" w:hAnsi="Arial"/>
          <w:sz w:val="22"/>
          <w:szCs w:val="22"/>
          <w:rtl/>
        </w:rPr>
        <w:t xml:space="preserve">v. إذا أُنهي للسبب (for cause)، فلا تكون Creative مسؤولة تجاه مقدّم العرض عن أي مبلغ للمستلزمات أو الخدمات التي لم تقبلها Creative. </w:t>
      </w:r>
      <w:r>
        <w:rPr>
          <w:rFonts w:ascii="Arial" w:cs="Arial" w:eastAsia="Arial" w:hAnsi="Arial"/>
          <w:b/>
          <w:bCs/>
          <w:sz w:val="22"/>
          <w:szCs w:val="22"/>
          <w:rtl/>
        </w:rPr>
        <w:t xml:space="preserve">الإنهاء للملاءمة (Termination for Convenience).</w:t>
      </w:r>
      <w:r>
        <w:rPr>
          <w:rFonts w:ascii="Arial" w:cs="Arial" w:eastAsia="Arial" w:hAnsi="Arial"/>
          <w:sz w:val="22"/>
          <w:szCs w:val="22"/>
          <w:rtl/>
        </w:rPr>
        <w:t xml:space="preserve"> يحتفظ المشتري بالحق في إنهاء أمر الشراء هذا لأي سبب. وعند الإخطار الرسمي من المشتري، وما لم يتفق الطرفان على خلاف ذلك، لا يكون المشتري مسؤولًا إلا عن الدفع وفق أحكام الدفع في أمر الشراء هذا عن الخدمات المقدَّمة قبل تاريخ سريان الإنهاء، ولا تكون للبائع أي مطالبة ضد المشتري عن خدمات لم تُؤدَّ أو أرباح متوقعة فائتة أو أضرار غير مباشرة أو تبعية يُزعم أنه تكبدها بسبب هذا الإنهاء.</w:t>
      </w:r>
    </w:p>
    <w:p>
      <w:pPr>
        <w:pStyle w:val="ListParagraph"/>
        <w:numPr>
          <w:ilvl w:val="0"/>
          <w:numId w:val="7"/>
        </w:numPr>
        <w:bidi/>
        <w:spacing w:after="60" w:line="290"/>
        <w:jc w:val="start"/>
      </w:pPr>
      <w:r>
        <w:rPr>
          <w:rFonts w:ascii="Arial" w:cs="Arial" w:eastAsia="Arial" w:hAnsi="Arial"/>
          <w:b/>
          <w:bCs/>
          <w:sz w:val="22"/>
          <w:szCs w:val="22"/>
          <w:rtl/>
        </w:rPr>
        <w:t xml:space="preserve">التأمين (Insurance).</w:t>
      </w:r>
    </w:p>
    <w:p>
      <w:pPr>
        <w:pStyle w:val="ListParagraph"/>
        <w:numPr>
          <w:ilvl w:val="1"/>
          <w:numId w:val="2"/>
        </w:numPr>
        <w:bidi/>
        <w:spacing w:after="60" w:line="290"/>
        <w:jc w:val="start"/>
      </w:pPr>
      <w:r>
        <w:rPr>
          <w:rFonts w:ascii="Arial" w:cs="Arial" w:eastAsia="Arial" w:hAnsi="Arial"/>
          <w:sz w:val="22"/>
          <w:szCs w:val="22"/>
          <w:rtl/>
        </w:rPr>
        <w:t xml:space="preserve">i. يحتفظ البائع وأي مقاولين من الباطن معتمدين، على نفقتهم الخاصة وحدهم، وفي جميع الأوقات قبل المباشرة وطوال مدة تنفيذ أمر الشراء هذا، لدى شركات تأمين ذات سمعة جيدة بتغطية تأمينية بالحد الأدنى من المبالغ الموضحة أدناه:</w:t>
      </w:r>
    </w:p>
    <w:p>
      <w:pPr>
        <w:pStyle w:val="ListParagraph"/>
        <w:numPr>
          <w:ilvl w:val="1"/>
          <w:numId w:val="2"/>
        </w:numPr>
        <w:bidi/>
        <w:spacing w:after="60" w:line="290"/>
        <w:jc w:val="start"/>
      </w:pPr>
      <w:r>
        <w:rPr>
          <w:rFonts w:ascii="Arial" w:cs="Arial" w:eastAsia="Arial" w:hAnsi="Arial"/>
          <w:sz w:val="22"/>
          <w:szCs w:val="22"/>
          <w:rtl/>
        </w:rPr>
        <w:t xml:space="preserve">ii. تأمين تعويض العمال (Worker's Compensation) (أو DBA أو LS&amp;H أو ما يعادله محليًا خارج الولايات المتحدة) حسب ما تقتضيه قوانين الولاية التي يُنفَّذ فيها العمل، ويجب أن ينص هذا التأمين على التنازل عن الحلول (waiver of subrogation) ضد المشتري.</w:t>
      </w:r>
    </w:p>
    <w:p>
      <w:pPr>
        <w:pStyle w:val="ListParagraph"/>
        <w:numPr>
          <w:ilvl w:val="1"/>
          <w:numId w:val="2"/>
        </w:numPr>
        <w:bidi/>
        <w:spacing w:after="60" w:line="290"/>
        <w:jc w:val="start"/>
      </w:pPr>
      <w:r>
        <w:rPr>
          <w:rFonts w:ascii="Arial" w:cs="Arial" w:eastAsia="Arial" w:hAnsi="Arial"/>
          <w:sz w:val="22"/>
          <w:szCs w:val="22"/>
          <w:rtl/>
        </w:rPr>
        <w:t xml:space="preserve">iii. تأمين مسؤولية صاحب العمل (Employer Liability) بمبلغ 1,000,000 دولار.</w:t>
      </w:r>
    </w:p>
    <w:p>
      <w:pPr>
        <w:pStyle w:val="ListParagraph"/>
        <w:numPr>
          <w:ilvl w:val="1"/>
          <w:numId w:val="2"/>
        </w:numPr>
        <w:bidi/>
        <w:spacing w:after="60" w:line="290"/>
        <w:jc w:val="start"/>
      </w:pPr>
      <w:r>
        <w:rPr>
          <w:rFonts w:ascii="Arial" w:cs="Arial" w:eastAsia="Arial" w:hAnsi="Arial"/>
          <w:sz w:val="22"/>
          <w:szCs w:val="22"/>
          <w:rtl/>
        </w:rPr>
        <w:t xml:space="preserve">iv. المسؤولية العامة التجارية (Commercial General Liability – CGL) (نموذج ISO CG 0001 12/04 أو ما يعادله) بحد موحد مشترك (CSL) قدره 2,000,000 دولار للإصابة الجسدية و/أو الأضرار بالممتلكات. ويجب أن تشمل التغطية، على سبيل المثال لا الحصر، المباني والعمليات والمنتجات والعمليات المكتملة والعقود.</w:t>
      </w:r>
    </w:p>
    <w:p>
      <w:pPr>
        <w:pStyle w:val="ListParagraph"/>
        <w:numPr>
          <w:ilvl w:val="1"/>
          <w:numId w:val="2"/>
        </w:numPr>
        <w:bidi/>
        <w:spacing w:after="60" w:line="290"/>
        <w:jc w:val="start"/>
      </w:pPr>
      <w:r>
        <w:rPr>
          <w:rFonts w:ascii="Arial" w:cs="Arial" w:eastAsia="Arial" w:hAnsi="Arial"/>
          <w:sz w:val="22"/>
          <w:szCs w:val="22"/>
          <w:rtl/>
        </w:rPr>
        <w:t xml:space="preserve">v. مسؤولية المركبات (Automobile Liability – AL) بحد CSL قدره 2,000,000 دولار للإصابة الجسدية و/أو الأضرار بالممتلكات تغطي جميع المركبات المملوكة والمستأجرة وغير المملوكة.</w:t>
      </w:r>
    </w:p>
    <w:p>
      <w:pPr>
        <w:pStyle w:val="ListParagraph"/>
        <w:numPr>
          <w:ilvl w:val="1"/>
          <w:numId w:val="2"/>
        </w:numPr>
        <w:bidi/>
        <w:spacing w:after="60" w:line="290"/>
        <w:jc w:val="start"/>
      </w:pPr>
      <w:r>
        <w:rPr>
          <w:rFonts w:ascii="Arial" w:cs="Arial" w:eastAsia="Arial" w:hAnsi="Arial"/>
          <w:sz w:val="22"/>
          <w:szCs w:val="22"/>
          <w:rtl/>
        </w:rPr>
        <w:t xml:space="preserve">vi. ستكون أنواع و/أو حدود تأمين إضافية ضرورية إذا انطوى العمل على عمليات خاصة أو خطرة. ومن الأمثلة على أنواع التأمين الإضافية: (a) الأخطاء والإغفالات أو المسؤولية المهنية (Errors and omissions or professional liability)؛ (b) الجرائم التجارية (Commercial Crime)، بما في ذلك تغطية عدم أمانة الموظفين. ويجب أن تسري التغطية على الخسارة أو الضرر الذي يلحق بالمشتري (أو بأطراف ثالثة تُؤدَّى لها الخدمات)، والناجم عن موظفي البائع.</w:t>
      </w:r>
    </w:p>
    <w:p>
      <w:pPr>
        <w:pStyle w:val="ListParagraph"/>
        <w:numPr>
          <w:ilvl w:val="1"/>
          <w:numId w:val="2"/>
        </w:numPr>
        <w:bidi/>
        <w:spacing w:after="60" w:line="290"/>
        <w:jc w:val="start"/>
      </w:pPr>
      <w:r>
        <w:rPr>
          <w:rFonts w:ascii="Arial" w:cs="Arial" w:eastAsia="Arial" w:hAnsi="Arial"/>
          <w:sz w:val="22"/>
          <w:szCs w:val="22"/>
          <w:rtl/>
        </w:rPr>
        <w:t xml:space="preserve">vii. أي تأمين آخر قد يطلبه المشتري كما هو منصوص عليه في هذا الأمر أو في مرفق به.</w:t>
      </w:r>
    </w:p>
    <w:p>
      <w:pPr>
        <w:pStyle w:val="ListParagraph"/>
        <w:numPr>
          <w:ilvl w:val="1"/>
          <w:numId w:val="2"/>
        </w:numPr>
        <w:bidi/>
        <w:spacing w:after="60" w:line="290"/>
        <w:jc w:val="start"/>
      </w:pPr>
      <w:r>
        <w:rPr>
          <w:rFonts w:ascii="Arial" w:cs="Arial" w:eastAsia="Arial" w:hAnsi="Arial"/>
          <w:sz w:val="22"/>
          <w:szCs w:val="22"/>
          <w:rtl/>
        </w:rPr>
        <w:t xml:space="preserve">viii. يجوز استيفاء الحدود المطلوبة بأي توليفة من التأمين الأساسي والتأمين الشامل/الفائض (umbrella/excess).</w:t>
      </w:r>
    </w:p>
    <w:p>
      <w:pPr>
        <w:pStyle w:val="ListParagraph"/>
        <w:numPr>
          <w:ilvl w:val="1"/>
          <w:numId w:val="2"/>
        </w:numPr>
        <w:bidi/>
        <w:spacing w:after="60" w:line="290"/>
        <w:jc w:val="start"/>
      </w:pPr>
      <w:r>
        <w:rPr>
          <w:rFonts w:ascii="Arial" w:cs="Arial" w:eastAsia="Arial" w:hAnsi="Arial"/>
          <w:sz w:val="22"/>
          <w:szCs w:val="22"/>
          <w:rtl/>
        </w:rPr>
        <w:t xml:space="preserve">ix. أي مبلغ تحمّل (deductible) أو احتفاظ ذاتي بالتأمين أو التزام مماثل آخر بموجب الوثائق يكون على مسؤولية البائع وحده.</w:t>
      </w:r>
    </w:p>
    <w:p>
      <w:pPr>
        <w:pStyle w:val="ListParagraph"/>
        <w:numPr>
          <w:ilvl w:val="1"/>
          <w:numId w:val="2"/>
        </w:numPr>
        <w:bidi/>
        <w:spacing w:after="60" w:line="290"/>
        <w:jc w:val="start"/>
      </w:pPr>
      <w:r>
        <w:rPr>
          <w:rFonts w:ascii="Arial" w:cs="Arial" w:eastAsia="Arial" w:hAnsi="Arial"/>
          <w:sz w:val="22"/>
          <w:szCs w:val="22"/>
          <w:rtl/>
        </w:rPr>
        <w:t xml:space="preserve">x. لا يُقيَّد واجب الدفاع عن المشتري وتعويضه وإبراؤه بموجب هذه الاتفاقية بالتأمين المطلوب في أمر الشراء هذا.</w:t>
      </w:r>
    </w:p>
    <w:p>
      <w:pPr>
        <w:pStyle w:val="ListParagraph"/>
        <w:numPr>
          <w:ilvl w:val="1"/>
          <w:numId w:val="2"/>
        </w:numPr>
        <w:bidi/>
        <w:spacing w:after="60" w:line="290"/>
        <w:jc w:val="start"/>
      </w:pPr>
      <w:r>
        <w:rPr>
          <w:rFonts w:ascii="Arial" w:cs="Arial" w:eastAsia="Arial" w:hAnsi="Arial"/>
          <w:sz w:val="22"/>
          <w:szCs w:val="22"/>
          <w:rtl/>
        </w:rPr>
        <w:t xml:space="preserve">xi. يجب أن يتضمن التأمين المطلوب في أمر الشراء هذا الأحكام التالية: (a) أن يتنازل البائع عن حقوق المؤمّن في الاسترداد والحلول ضد المشتري؛ (b) أن يسمّي التأمين المطلوب أعلاه المشتري كمؤمَّن عليه إضافي؛ (c) أن تكون تغطية البائع التأمينية أساسية (أي تدفع أولًا) فيما يتعلق بأي تأمين أو تأمين ذاتي أو احتفاظ ذاتي يحتفظ به المشتري؛ (d) أن يكون الدفاع القانوني المقدَّم للمشتري بموجب الوثيقة وأي ملاحق خاليًا من أي تضارب مصالح، حتى لو كان الاحتفاظ بمستشار قانوني منفصل للمشتري ضروريًا؛ (e) ألا يعفي إعسار المؤمَّن عليه البائع أو إفلاسه المؤمِّن من الدفع بموجب الوثيقة، حتى عندما يمنع هذا الإعسار أو الإفلاس المؤمَّن عليه البائع من استيفاء حد الاحتفاظ بموجب الوثيقة.</w:t>
      </w:r>
    </w:p>
    <w:p>
      <w:pPr>
        <w:pStyle w:val="ListParagraph"/>
        <w:numPr>
          <w:ilvl w:val="1"/>
          <w:numId w:val="2"/>
        </w:numPr>
        <w:bidi/>
        <w:spacing w:after="60" w:line="290"/>
        <w:jc w:val="start"/>
      </w:pPr>
      <w:r>
        <w:rPr>
          <w:rFonts w:ascii="Arial" w:cs="Arial" w:eastAsia="Arial" w:hAnsi="Arial"/>
          <w:sz w:val="22"/>
          <w:szCs w:val="22"/>
          <w:rtl/>
        </w:rPr>
        <w:t xml:space="preserve">xii. عند الطلب، يقدّم البائع شهادة تأمين (Certificate of Insurance) تثبت امتثال البائع لهذه المتطلبات. كما يزوّد البائع بشهادات مجددة بناءً على طلب الممثل المفوَّض للمشتري.</w:t>
      </w:r>
    </w:p>
    <w:p>
      <w:pPr>
        <w:pStyle w:val="ListParagraph"/>
        <w:numPr>
          <w:ilvl w:val="0"/>
          <w:numId w:val="7"/>
        </w:numPr>
        <w:bidi/>
        <w:spacing w:after="60" w:line="290"/>
        <w:jc w:val="start"/>
      </w:pPr>
      <w:r>
        <w:rPr>
          <w:rFonts w:ascii="Arial" w:cs="Arial" w:eastAsia="Arial" w:hAnsi="Arial"/>
          <w:b/>
          <w:bCs/>
          <w:sz w:val="22"/>
          <w:szCs w:val="22"/>
          <w:rtl/>
        </w:rPr>
        <w:t xml:space="preserve">التعويض (Indemnification).</w:t>
      </w:r>
      <w:r>
        <w:rPr>
          <w:rFonts w:ascii="Arial" w:cs="Arial" w:eastAsia="Arial" w:hAnsi="Arial"/>
          <w:sz w:val="22"/>
          <w:szCs w:val="22"/>
          <w:rtl/>
        </w:rPr>
        <w:t xml:space="preserve"> يكون البائع وحده مسؤولًا عن، ويعوّض ويبرئ Creative وخلفاءها والمتنازل لهم من، أي مطالبات أو دعاوى أو أحكام أو أسباب دعوى يرفعها أي طرف ثالث ضد Creative حيثما نتجت هذه الإجراءات عن السلع المقدَّمة أو الخدمات أو الاختراعات أو العمل المنفَّذ من البائع بموجب أمر الشراء هذا أو نشأت عنها. ويعوّض البائع كذلك Creative وخلفاءها والمتنازل لهم ويدافع عنهم ويبرئهم من وضد أي وجميع الخسائر أو الأضرار الناتجة عن أي تحريف أو أي عدم وفاء بأي إقرار أو مسؤولية أو تعهد أو اتفاق من جانب البائع، إضافة إلى أي وجميع الأفعال والدعاوى والإجراءات والمطالبات والتقييمات والغرامات والأحكام الصادرة من أو ضد Creative المتعلقة بأنشطة البائع أو الناشئة عنها، ويدفع البائع أتعاب المحاماة والتكاليف والنفقات المعقولة المرتبطة بذلك. ويشمل هذا التعويض أيضًا الاستخدام أو الإفشاء غير المصرح به لمواد أو معلومات الأطراف الثالثة.</w:t>
      </w:r>
    </w:p>
    <w:p>
      <w:pPr>
        <w:pStyle w:val="ListParagraph"/>
        <w:numPr>
          <w:ilvl w:val="0"/>
          <w:numId w:val="7"/>
        </w:numPr>
        <w:bidi/>
        <w:spacing w:after="60" w:line="290"/>
        <w:jc w:val="start"/>
      </w:pPr>
      <w:r>
        <w:rPr>
          <w:rFonts w:ascii="Arial" w:cs="Arial" w:eastAsia="Arial" w:hAnsi="Arial"/>
          <w:b/>
          <w:bCs/>
          <w:sz w:val="22"/>
          <w:szCs w:val="22"/>
          <w:rtl/>
        </w:rPr>
        <w:t xml:space="preserve">التغييرات (Changes).</w:t>
      </w:r>
    </w:p>
    <w:p>
      <w:pPr>
        <w:pStyle w:val="ListParagraph"/>
        <w:numPr>
          <w:ilvl w:val="1"/>
          <w:numId w:val="2"/>
        </w:numPr>
        <w:bidi/>
        <w:spacing w:after="60" w:line="290"/>
        <w:jc w:val="start"/>
      </w:pPr>
      <w:r>
        <w:rPr>
          <w:rFonts w:ascii="Arial" w:cs="Arial" w:eastAsia="Arial" w:hAnsi="Arial"/>
          <w:sz w:val="22"/>
          <w:szCs w:val="22"/>
          <w:rtl/>
        </w:rPr>
        <w:t xml:space="preserve">i. يجوز للممثل المفوَّض للمشتري في أي وقت، بأمر خطي ودون إخطار الكفلاء أو المتنازل لهم، إن وجدوا، إجراء تغييرات ضمن النطاق العام لأمر الشراء هذا في: (1) الرسومات والتصاميم وبيان الأعمال والمواصفات والتخطيط و/أو الوثائق الفنية الأخرى؛ (2) طريقة الشحن أو التغليف أو التعبئة؛ (3) وقت ومكان الفحص أو التسليم أو القبول؛ (4) تعديلات معقولة في الكميات و/أو جداول التسليم؛ (5) مكان أداء الخدمة؛ (6) مقدار الممتلكات التي يوفرها المشتري/الحكومة؛ و(7) الشروط والأحكام المطلوبة لتلبية التزامات المشتري بموجب عقوده الرئيسية، بما في ذلك على سبيل المثال لا الحصر أي بنود تدفق إلزامية.</w:t>
      </w:r>
    </w:p>
    <w:p>
      <w:pPr>
        <w:pStyle w:val="ListParagraph"/>
        <w:numPr>
          <w:ilvl w:val="1"/>
          <w:numId w:val="2"/>
        </w:numPr>
        <w:bidi/>
        <w:spacing w:after="60" w:line="290"/>
        <w:jc w:val="start"/>
      </w:pPr>
      <w:r>
        <w:rPr>
          <w:rFonts w:ascii="Arial" w:cs="Arial" w:eastAsia="Arial" w:hAnsi="Arial"/>
          <w:sz w:val="22"/>
          <w:szCs w:val="22"/>
          <w:rtl/>
        </w:rPr>
        <w:t xml:space="preserve">ii. إذا تسبب أي تغيير من هذا القبيل في زيادة أو نقصان في تكلفة أداء هذا الأمر أو الوقت اللازم له، يُجرى تعديل عادل في سعر العقد أو تاريخ التسليم أو الجدول أو كليهما، ويُعدَّل هذا الأمر كتابةً وفقًا لذلك. وتُعد أي مطالبة بتعديل بموجب هذه الفقرة متنازلًا عنها بشكل قاطع ما لم تُقدَّم كتابةً خلال ثلاثين (30) يومًا من تاريخ استلام البائع لأمر التغيير. ويُذكر مبلغ المطالبة عند تقديمها. وحيثما تضمنت مطالبة البائع بالتعديل تكلفة ممتلكات أصبحت متقادمة أو فائضة نتيجة التغيير، يكون للمشتري الحق في تحديد طريقة التصرف بتلك الممتلكات. ولا يكون أي أمر تغيير صادر بموجب هذا ملزمًا للمشتري ما لم يصدره وكيل مشتريات مفوَّض من المشتري. ولا يعفي أي شيء في هذه الفقرة البائع من المضي في أمر الشراء كما تم تغييره. ويجوز للكوادر الهندسية والفنية لدى المشتري من وقت لآخر تقديم مساعدة أو نصيحة فنية أو إجراء تبادل معلومات مع كوادر البائع في جهد ارتباطي بشأن المستلزمات أو الخدمات المقرر تقديمها بموجب هذا. ولا يمنح هذا التبادل للمعلومات أو النصيحة البائع سلطة تغيير المستلزمات أو الخدمات بموجب هذا أو حكم هذا الأمر.</w:t>
      </w:r>
    </w:p>
    <w:p>
      <w:pPr>
        <w:pStyle w:val="ListParagraph"/>
        <w:numPr>
          <w:ilvl w:val="0"/>
          <w:numId w:val="7"/>
        </w:numPr>
        <w:bidi/>
        <w:spacing w:after="60" w:line="290"/>
        <w:jc w:val="start"/>
      </w:pPr>
      <w:r>
        <w:rPr>
          <w:rFonts w:ascii="Arial" w:cs="Arial" w:eastAsia="Arial" w:hAnsi="Arial"/>
          <w:b/>
          <w:bCs/>
          <w:sz w:val="22"/>
          <w:szCs w:val="22"/>
          <w:rtl/>
        </w:rPr>
        <w:t xml:space="preserve">الإرهاب – الأمر التنفيذي 13224 (Terrorism E.O. 13224).</w:t>
      </w:r>
      <w:r>
        <w:rPr>
          <w:rFonts w:ascii="Arial" w:cs="Arial" w:eastAsia="Arial" w:hAnsi="Arial"/>
          <w:sz w:val="22"/>
          <w:szCs w:val="22"/>
          <w:rtl/>
        </w:rPr>
        <w:t xml:space="preserve"> يوافق البائع ويشهد بأنه لا ينتهك الأمر التنفيذي رقم 13224 بشأن تمويل الإرهاب؛ وسيتخذ جميع الإجراءات اللازمة للامتثال له؛ وهو أمر يحظر ويمنع المعاملات مع الأشخاص الذين يرتكبون الإرهاب أو يهددون بارتكابه أو يدعمونه. (الأمر التنفيذي 13224 متاح أيضًا على: http://www.whitehouse.gov/news/releases/2001/09/20010924-1.html).</w:t>
      </w:r>
    </w:p>
    <w:p>
      <w:pPr>
        <w:pStyle w:val="ListParagraph"/>
        <w:numPr>
          <w:ilvl w:val="0"/>
          <w:numId w:val="7"/>
        </w:numPr>
        <w:bidi/>
        <w:spacing w:after="60" w:line="290"/>
        <w:jc w:val="start"/>
      </w:pPr>
      <w:r>
        <w:rPr>
          <w:rFonts w:ascii="Arial" w:cs="Arial" w:eastAsia="Arial" w:hAnsi="Arial"/>
          <w:b/>
          <w:bCs/>
          <w:sz w:val="22"/>
          <w:szCs w:val="22"/>
          <w:rtl/>
        </w:rPr>
        <w:t xml:space="preserve">الممارسات الفاسدة والإكراميات (Corrupt Practices and Gratuities).</w:t>
      </w:r>
      <w:r>
        <w:rPr>
          <w:rFonts w:ascii="Arial" w:cs="Arial" w:eastAsia="Arial" w:hAnsi="Arial"/>
          <w:sz w:val="22"/>
          <w:szCs w:val="22"/>
          <w:rtl/>
        </w:rPr>
        <w:t xml:space="preserve"> يقرّ البائع ويضمن أنه سيمتثل لجميع القوانين والأنظمة المحلية والوطنية والأجنبية المعمول بها المتعلقة بأداء الالتزامات بموجب أمر الشراء هذا وأي تعديل له. وعلى وجه الخصوص ودون تحديد، لا يتصرف البائع بأي طريقة أو يتخذ أي إجراء من شأنه أن يعرّض Creative للمسؤولية عن انتهاك قانون الممارسات الأجنبية الفاسدة الأمريكي (U.S. Foreign Corrupt Practices Act – "FCPA")، الذي يحظر عرض أو منح أو الوعد بعرض أو منح، بشكل مباشر أو غير مباشر، أموال أو أي شيء ذي قيمة لأي مسؤول حكومي أو حزب سياسي أو جهة تابعة لمساعدة البائع أو Creative في الحصول على أعمال أو الاحتفاظ بها أو في تنفيذ الخدمات. وإضافة إلى ذلك، يوافق البائع على ألا يستلم أو يقبل أي مدفوعات أو منافع أخرى من أي أطراف مرتبطة بأداء الخدمات أو العمل المطلوب بموجب هذه الاتفاقية. ويوافق البائع على أن عدم الامتثال لـ FCPA و/أو استلام مدفوعات أو منافع أخرى قد يمس بنزاهة العمل المنفَّذ، وبالتالي يكون لـ Creative الحق في إنهاء أمر الشراء هذا وطلب استرداد الأتعاب المدفوعة عن هذا العمل.</w:t>
      </w:r>
    </w:p>
    <w:p>
      <w:pPr>
        <w:pStyle w:val="ListParagraph"/>
        <w:numPr>
          <w:ilvl w:val="0"/>
          <w:numId w:val="7"/>
        </w:numPr>
        <w:bidi/>
        <w:spacing w:after="60" w:line="290"/>
        <w:jc w:val="start"/>
      </w:pPr>
      <w:r>
        <w:rPr>
          <w:rFonts w:ascii="Arial" w:cs="Arial" w:eastAsia="Arial" w:hAnsi="Arial"/>
          <w:b/>
          <w:bCs/>
          <w:sz w:val="22"/>
          <w:szCs w:val="22"/>
          <w:rtl/>
        </w:rPr>
        <w:t xml:space="preserve">مدونة السلوك (Code of Conduct).</w:t>
      </w:r>
      <w:r>
        <w:rPr>
          <w:rFonts w:ascii="Arial" w:cs="Arial" w:eastAsia="Arial" w:hAnsi="Arial"/>
          <w:sz w:val="22"/>
          <w:szCs w:val="22"/>
          <w:rtl/>
        </w:rPr>
        <w:t xml:space="preserve"> يوافق البائع على تنفيذ العمل المكلَّف به من Creative بأسلوب مهني وأخلاقي ومراعٍ للثقافات كما هو موضح أكثر في مدونة سلوك الموردين لدى Creative. ويجب إيلاء اهتمام خاص لحماية المبلّغين عن المخالفات (ومسؤولية البائع عن الإبلاغ عن الاشتباه في الاحتيال والهدر وإساءة الاستخدام)، ومتطلبات حماية الطفل، والتزام Creative بمكافحة الاتجار بالبشر.</w:t>
      </w:r>
    </w:p>
    <w:p>
      <w:pPr>
        <w:pStyle w:val="ListParagraph"/>
        <w:numPr>
          <w:ilvl w:val="0"/>
          <w:numId w:val="7"/>
        </w:numPr>
        <w:bidi/>
        <w:spacing w:after="60" w:line="290"/>
        <w:jc w:val="start"/>
      </w:pPr>
      <w:r>
        <w:rPr>
          <w:rFonts w:ascii="Arial" w:cs="Arial" w:eastAsia="Arial" w:hAnsi="Arial"/>
          <w:b/>
          <w:bCs/>
          <w:sz w:val="22"/>
          <w:szCs w:val="22"/>
          <w:rtl/>
        </w:rPr>
        <w:t xml:space="preserve">شهادات أخرى (Other Certifications).</w:t>
      </w:r>
      <w:r>
        <w:rPr>
          <w:rFonts w:ascii="Arial" w:cs="Arial" w:eastAsia="Arial" w:hAnsi="Arial"/>
          <w:sz w:val="22"/>
          <w:szCs w:val="22"/>
          <w:rtl/>
        </w:rPr>
        <w:t xml:space="preserve"> يشهد البائع بقبوله أمر الشراء هذا بأنه:</w:t>
      </w:r>
    </w:p>
    <w:p>
      <w:pPr>
        <w:pStyle w:val="ListParagraph"/>
        <w:numPr>
          <w:ilvl w:val="1"/>
          <w:numId w:val="2"/>
        </w:numPr>
        <w:bidi/>
        <w:spacing w:after="60" w:line="290"/>
        <w:jc w:val="start"/>
      </w:pPr>
      <w:r>
        <w:rPr>
          <w:rFonts w:ascii="Arial" w:cs="Arial" w:eastAsia="Arial" w:hAnsi="Arial"/>
          <w:sz w:val="22"/>
          <w:szCs w:val="22"/>
          <w:rtl/>
        </w:rPr>
        <w:t xml:space="preserve">i. إذا تجاوز أمر الشراء هذا 35,000 دولار ولم يكن لشراء بنود جاهزة تجاريًا (commercially available off-the-shelf)، فإنه بتوقيع أمر الشراء هذا (أو التعديل) وبدء العمل، يشهد البائع بأنه لا هو ولا مسؤولوه الرئيسيون محرومون أو موقوفون أو مقترح حرمانهم أو معلن عدم أهليتهم أو مستبعدون طوعًا من المشاركة في هذه المعاملة من قِبل أي وزارة فيدرالية؛</w:t>
      </w:r>
    </w:p>
    <w:p>
      <w:pPr>
        <w:pStyle w:val="ListParagraph"/>
        <w:numPr>
          <w:ilvl w:val="1"/>
          <w:numId w:val="2"/>
        </w:numPr>
        <w:bidi/>
        <w:spacing w:after="60" w:line="290"/>
        <w:jc w:val="start"/>
      </w:pPr>
      <w:r>
        <w:rPr>
          <w:rFonts w:ascii="Arial" w:cs="Arial" w:eastAsia="Arial" w:hAnsi="Arial"/>
          <w:sz w:val="22"/>
          <w:szCs w:val="22"/>
          <w:rtl/>
        </w:rPr>
        <w:t xml:space="preserve">ii. لم يُدَن بجريمة مخدرات ولم يشارك في الاتجار بالمخدرات كما هو معرَّف في الرابط: https://www.ecfr.gov/ (22 CFR 140)؛</w:t>
      </w:r>
    </w:p>
    <w:p>
      <w:pPr>
        <w:pStyle w:val="ListParagraph"/>
        <w:numPr>
          <w:ilvl w:val="1"/>
          <w:numId w:val="2"/>
        </w:numPr>
        <w:bidi/>
        <w:spacing w:after="60" w:line="290"/>
        <w:jc w:val="start"/>
      </w:pPr>
      <w:r>
        <w:rPr>
          <w:rFonts w:ascii="Arial" w:cs="Arial" w:eastAsia="Arial" w:hAnsi="Arial"/>
          <w:sz w:val="22"/>
          <w:szCs w:val="22"/>
          <w:rtl/>
        </w:rPr>
        <w:t xml:space="preserve">iii. لم يُدَن ولم يُوجَّه إليه اتهام ولا يخضع حاليًا لاتهام بأي جريمة (جرائم) أخرى من جرائم العنف أو الاحتيال أو النية الخبيثة؛</w:t>
      </w:r>
    </w:p>
    <w:p>
      <w:pPr>
        <w:pStyle w:val="ListParagraph"/>
        <w:numPr>
          <w:ilvl w:val="1"/>
          <w:numId w:val="2"/>
        </w:numPr>
        <w:bidi/>
        <w:spacing w:after="60" w:line="290"/>
        <w:jc w:val="start"/>
      </w:pPr>
      <w:r>
        <w:rPr>
          <w:rFonts w:ascii="Arial" w:cs="Arial" w:eastAsia="Arial" w:hAnsi="Arial"/>
          <w:sz w:val="22"/>
          <w:szCs w:val="22"/>
          <w:rtl/>
        </w:rPr>
        <w:t xml:space="preserve">iv. غير مصنَّف "مواطنًا مسمّى خصيصًا" (specially designated nationals) من قِبل مكتب مراقبة الأصول الأجنبية (Office of Foreign Asset Control) التابع لوزارة الخزانة الأمريكية؛</w:t>
      </w:r>
    </w:p>
    <w:p>
      <w:pPr>
        <w:pStyle w:val="ListParagraph"/>
        <w:numPr>
          <w:ilvl w:val="1"/>
          <w:numId w:val="2"/>
        </w:numPr>
        <w:bidi/>
        <w:spacing w:after="60" w:line="290"/>
        <w:jc w:val="start"/>
      </w:pPr>
      <w:r>
        <w:rPr>
          <w:rFonts w:ascii="Arial" w:cs="Arial" w:eastAsia="Arial" w:hAnsi="Arial"/>
          <w:sz w:val="22"/>
          <w:szCs w:val="22"/>
          <w:rtl/>
        </w:rPr>
        <w:t xml:space="preserve">v. لم يُوجَّه إليه اتهام ولم يُدَن بتهم الإرهاب أو تقديم الدعم للإرهابيين؛</w:t>
      </w:r>
    </w:p>
    <w:p>
      <w:pPr>
        <w:pStyle w:val="ListParagraph"/>
        <w:numPr>
          <w:ilvl w:val="1"/>
          <w:numId w:val="2"/>
        </w:numPr>
        <w:bidi/>
        <w:spacing w:after="60" w:line="290"/>
        <w:jc w:val="start"/>
      </w:pPr>
      <w:r>
        <w:rPr>
          <w:rFonts w:ascii="Arial" w:cs="Arial" w:eastAsia="Arial" w:hAnsi="Arial"/>
          <w:sz w:val="22"/>
          <w:szCs w:val="22"/>
          <w:rtl/>
        </w:rPr>
        <w:t xml:space="preserve">vi. يقرّ بموجب هذا ويوافق على الالتزام بسياسة حكومة الولايات المتحدة بشأن مكافحة الاتجار بالأشخاص التي تحظر الاتجار بالأشخاص بما في ذلك الأنشطة المرتبطة بالاتجار كما هي معرَّفة على: https://www.ecfr.gov/؛</w:t>
      </w:r>
    </w:p>
    <w:p>
      <w:pPr>
        <w:pStyle w:val="ListParagraph"/>
        <w:numPr>
          <w:ilvl w:val="1"/>
          <w:numId w:val="2"/>
        </w:numPr>
        <w:bidi/>
        <w:spacing w:after="60" w:line="290"/>
        <w:jc w:val="start"/>
      </w:pPr>
      <w:r>
        <w:rPr>
          <w:rFonts w:ascii="Arial" w:cs="Arial" w:eastAsia="Arial" w:hAnsi="Arial"/>
          <w:sz w:val="22"/>
          <w:szCs w:val="22"/>
          <w:rtl/>
        </w:rPr>
        <w:t xml:space="preserve">vii. على علم ومُطّلع على حقوق البائع وسبل انتصافه في البرنامج التجريبي لحماية المبلّغين من الموظفين المنشأ بموجب 41 U.S.C. 4712، كما هو موصوف في القسم 3.908 من لائحة المشتريات الفيدرالية (FAR)؛</w:t>
      </w:r>
    </w:p>
    <w:p>
      <w:pPr>
        <w:pStyle w:val="ListParagraph"/>
        <w:numPr>
          <w:ilvl w:val="1"/>
          <w:numId w:val="2"/>
        </w:numPr>
        <w:bidi/>
        <w:spacing w:after="60" w:line="290"/>
        <w:jc w:val="start"/>
      </w:pPr>
      <w:r>
        <w:rPr>
          <w:rFonts w:ascii="Arial" w:cs="Arial" w:eastAsia="Arial" w:hAnsi="Arial"/>
          <w:sz w:val="22"/>
          <w:szCs w:val="22"/>
          <w:rtl/>
        </w:rPr>
        <w:t xml:space="preserve">viii. وفقًا لـ FAR 52.203-11 و52.203-12 (وكلاهما مُدرج في أمر الشراء هذا)، إذا كان هذا الأمر يتجاوز 150,000 دولار، فإنه بتوقيع أمر الشراء هذا (أو التعديل) وبدء العمل، يشهد البائع بموجب هذا، على حد علمه واعتقاده، بأنه لم تُدفع ولن تُدفع أي أموال فيدرالية مخصصة لأي شخص للتأثير أو محاولة التأثير على مسؤول أو موظف في أي وكالة، أو عضو في الكونغرس، أو مسؤول أو موظف في الكونغرس، أو موظف لدى عضو في الكونغرس نيابةً عنه فيما يتعلق بترسية أمر الشراء هذا أو التعديل.</w:t>
      </w:r>
    </w:p>
    <w:p>
      <w:pPr>
        <w:pStyle w:val="ListParagraph"/>
        <w:numPr>
          <w:ilvl w:val="0"/>
          <w:numId w:val="7"/>
        </w:numPr>
        <w:bidi/>
        <w:spacing w:after="60" w:line="290"/>
        <w:jc w:val="start"/>
      </w:pPr>
      <w:r>
        <w:rPr>
          <w:rFonts w:ascii="Arial" w:cs="Arial" w:eastAsia="Arial" w:hAnsi="Arial"/>
          <w:b/>
          <w:bCs/>
          <w:sz w:val="22"/>
          <w:szCs w:val="22"/>
          <w:rtl/>
        </w:rPr>
        <w:t xml:space="preserve">تسوية النزاعات (Dispute Resolution).</w:t>
      </w:r>
    </w:p>
    <w:p>
      <w:pPr>
        <w:pStyle w:val="ListParagraph"/>
        <w:numPr>
          <w:ilvl w:val="1"/>
          <w:numId w:val="2"/>
        </w:numPr>
        <w:bidi/>
        <w:spacing w:after="60" w:line="290"/>
        <w:jc w:val="start"/>
      </w:pPr>
      <w:r>
        <w:rPr>
          <w:rFonts w:ascii="Arial" w:cs="Arial" w:eastAsia="Arial" w:hAnsi="Arial"/>
          <w:sz w:val="22"/>
          <w:szCs w:val="22"/>
          <w:rtl/>
        </w:rPr>
        <w:t xml:space="preserve">i. يُقدَّم أي نزاع ينشأ بموجب أمر الشراء هذا أو فيما يتصل به بشأن حقوق الطرفين أو واجباتهما أو التزاماتهما كتابةً للحل لدى مستويات إدارية متصاعدة لدى كل من الطرفين.</w:t>
      </w:r>
    </w:p>
    <w:p>
      <w:pPr>
        <w:pStyle w:val="ListParagraph"/>
        <w:numPr>
          <w:ilvl w:val="1"/>
          <w:numId w:val="2"/>
        </w:numPr>
        <w:bidi/>
        <w:spacing w:after="60" w:line="290"/>
        <w:jc w:val="start"/>
      </w:pPr>
      <w:r>
        <w:rPr>
          <w:rFonts w:ascii="Arial" w:cs="Arial" w:eastAsia="Arial" w:hAnsi="Arial"/>
          <w:sz w:val="22"/>
          <w:szCs w:val="22"/>
          <w:rtl/>
        </w:rPr>
        <w:t xml:space="preserve">ii. ما لم يُنص على خلاف ذلك في متن أمر الشراء هذا، تُقدَّم أي نزاعات تتعلق بأمر الشراء هذا لم تُحل باتفاق الطرفين المتبادل إلى وساطة (mediation) كما يتفق عليها الطرفان، أو بدلًا من ذلك إلى تحكيم غير ملزم (non-binding arbitration) بموجب قواعد جمعية التحكيم الأمريكية (American Arbitration Association) يُعقد في واشنطن العاصمة. وتُقسَّم تكاليف هذا التحكيم بالتساوي بين الطرفين.</w:t>
      </w:r>
    </w:p>
    <w:p>
      <w:pPr>
        <w:pStyle w:val="ListParagraph"/>
        <w:numPr>
          <w:ilvl w:val="1"/>
          <w:numId w:val="2"/>
        </w:numPr>
        <w:bidi/>
        <w:spacing w:after="60" w:line="290"/>
        <w:jc w:val="start"/>
      </w:pPr>
      <w:r>
        <w:rPr>
          <w:rFonts w:ascii="Arial" w:cs="Arial" w:eastAsia="Arial" w:hAnsi="Arial"/>
          <w:sz w:val="22"/>
          <w:szCs w:val="22"/>
          <w:rtl/>
        </w:rPr>
        <w:t xml:space="preserve">iii. إلى حين صدور أي قرار نهائي مشار إليه في هذا البند، أو تسوية أي نزاع ناشئ بموجب هذا الأمر، يمضي الطرفان بجدّ في تنفيذ التزاماتهما بموجب هذا الأمر.</w:t>
      </w:r>
    </w:p>
    <w:p>
      <w:pPr>
        <w:pStyle w:val="ListParagraph"/>
        <w:numPr>
          <w:ilvl w:val="1"/>
          <w:numId w:val="2"/>
        </w:numPr>
        <w:bidi/>
        <w:spacing w:after="60" w:line="290"/>
        <w:jc w:val="start"/>
      </w:pPr>
      <w:r>
        <w:rPr>
          <w:rFonts w:ascii="Arial" w:cs="Arial" w:eastAsia="Arial" w:hAnsi="Arial"/>
          <w:sz w:val="22"/>
          <w:szCs w:val="22"/>
          <w:rtl/>
        </w:rPr>
        <w:t xml:space="preserve">iv. لا يكون المشتري بأي حال مسؤولًا عن الأرباح المتوقعة أو الأضرار العرضية أو التبعية. ولا تتجاوز مسؤولية المشتري عن أي مطالبة، من أي نوع، وعن أي خسارة أو ضرر ناشئ عن هذا الأمر أو متصل به أو ناتج عنه، أو عن تنفيذه أو الإخلال به، بأي حال، السعر المنسوب للمنتجات و/أو الخدمات، أو وحدتها، التي أدت إلى المطالبة. ولا يكون المشتري مسؤولًا عن أي غرامات من أي نوع.</w:t>
      </w:r>
    </w:p>
    <w:p>
      <w:pPr>
        <w:pStyle w:val="ListParagraph"/>
        <w:numPr>
          <w:ilvl w:val="1"/>
          <w:numId w:val="2"/>
        </w:numPr>
        <w:bidi/>
        <w:spacing w:after="60" w:line="290"/>
        <w:jc w:val="start"/>
      </w:pPr>
      <w:r>
        <w:rPr>
          <w:rFonts w:ascii="Arial" w:cs="Arial" w:eastAsia="Arial" w:hAnsi="Arial"/>
          <w:sz w:val="22"/>
          <w:szCs w:val="22"/>
          <w:rtl/>
        </w:rPr>
        <w:t xml:space="preserve">v. يجب أن تُرفع أي دعوى ناشئة عن أي إخلال من جانب المشتري فيما يتعلق بالمنتجات و/أو الخدمات المسلَّمة بموجب هذا خلال سنة واحدة بعد نشوء سبب الدعوى.</w:t>
      </w:r>
    </w:p>
    <w:p>
      <w:pPr>
        <w:pStyle w:val="ListParagraph"/>
        <w:numPr>
          <w:ilvl w:val="0"/>
          <w:numId w:val="7"/>
        </w:numPr>
        <w:bidi/>
        <w:spacing w:after="60" w:line="290"/>
        <w:jc w:val="start"/>
      </w:pPr>
      <w:r>
        <w:rPr>
          <w:rFonts w:ascii="Arial" w:cs="Arial" w:eastAsia="Arial" w:hAnsi="Arial"/>
          <w:b/>
          <w:bCs/>
          <w:sz w:val="22"/>
          <w:szCs w:val="22"/>
          <w:rtl/>
        </w:rPr>
        <w:t xml:space="preserve">القوة القاهرة (Force Majeure).</w:t>
      </w:r>
      <w:r>
        <w:rPr>
          <w:rFonts w:ascii="Arial" w:cs="Arial" w:eastAsia="Arial" w:hAnsi="Arial"/>
          <w:sz w:val="22"/>
          <w:szCs w:val="22"/>
          <w:rtl/>
        </w:rPr>
        <w:t xml:space="preserve"> يُقصد بحدث القوة القاهرة وقوع: (i) عمل حربي (سواء أُعلنت الحرب أم لا) أو أعمال عدائية أو غزو أو عمل من أعداء أجانب أو إرهاب أو اضطراب مدني؛ أو (ii) أفعال الطبيعة مثل العواصف أو الزلازل أو أي كارثة طبيعية أخرى ذات أبعاد ساحقة؛ أو (iii) ظروف أخرى غير متوقعة خارجة عن سيطرة الطرفين كان من غير المعقول للطرف المتضرر اتخاذ احتياطات ضدها ولا يستطيع الطرف المتضرر تجنبها حتى ببذل قصارى جهده.</w:t>
      </w:r>
    </w:p>
    <w:p>
      <w:pPr>
        <w:pStyle w:val="ListParagraph"/>
        <w:numPr>
          <w:ilvl w:val="1"/>
          <w:numId w:val="2"/>
        </w:numPr>
        <w:bidi/>
        <w:spacing w:after="60" w:line="290"/>
        <w:jc w:val="start"/>
      </w:pPr>
      <w:r>
        <w:rPr>
          <w:rFonts w:ascii="Arial" w:cs="Arial" w:eastAsia="Arial" w:hAnsi="Arial"/>
          <w:sz w:val="22"/>
          <w:szCs w:val="22"/>
          <w:rtl/>
        </w:rPr>
        <w:t xml:space="preserve">i. لا يُعد أي من الطرفين مخلًّا بالتزاماته بموجب أمر الشراء هذا (بخلاف التزامات الدفع) ولا يتحمل أي مسؤولية تجاه الطرف الآخر عن أي خسائر أو أضرار من أي طبيعة يتكبدها الطرف الآخر أو يعانيها (بخلاف ما هو منصوص عليه بموجب أي تعويض صريح في أمر الشراء هذا) إذا وبالقدر الذي يُمنع فيه من تنفيذ تلك الالتزامات بسبب حدث قوة قاهرة، أو تكون تلك الخسائر أو الأضرار ناجمة عنه، إلا بالقدر الذي كان سيحدث فيه الإخلال ذو الصلة بالتزاماته، أو كانت ستنشأ فيه الخسائر أو الأضرار ذات الصلة، حتى لو لم يقع حدث القوة القاهرة.</w:t>
      </w:r>
    </w:p>
    <w:p>
      <w:pPr>
        <w:pStyle w:val="ListParagraph"/>
        <w:numPr>
          <w:ilvl w:val="1"/>
          <w:numId w:val="2"/>
        </w:numPr>
        <w:bidi/>
        <w:spacing w:after="60" w:line="290"/>
        <w:jc w:val="start"/>
      </w:pPr>
      <w:r>
        <w:rPr>
          <w:rFonts w:ascii="Arial" w:cs="Arial" w:eastAsia="Arial" w:hAnsi="Arial"/>
          <w:sz w:val="22"/>
          <w:szCs w:val="22"/>
          <w:rtl/>
        </w:rPr>
        <w:t xml:space="preserve">ii. في أقرب وقت معقول عمليًا بعد تاريخ بدء حدث القوة القاهرة، وخلال وقت معقول بعد تاريخ انتهاء حدث القوة القاهرة، يقدّم أي طرف يتمسك به إلى الطرف الآخر دليلًا معقولًا على طبيعة حدث القوة القاهرة وأثره على أداء التزامات الطرف بموجب أمر الشراء هذا.</w:t>
      </w:r>
    </w:p>
    <w:p>
      <w:pPr>
        <w:pStyle w:val="ListParagraph"/>
        <w:numPr>
          <w:ilvl w:val="1"/>
          <w:numId w:val="2"/>
        </w:numPr>
        <w:bidi/>
        <w:spacing w:after="60" w:line="290"/>
        <w:jc w:val="start"/>
      </w:pPr>
      <w:r>
        <w:rPr>
          <w:rFonts w:ascii="Arial" w:cs="Arial" w:eastAsia="Arial" w:hAnsi="Arial"/>
          <w:sz w:val="22"/>
          <w:szCs w:val="22"/>
          <w:rtl/>
        </w:rPr>
        <w:t xml:space="preserve">iii. يتخذ الطرفان جميع الخطوات المعقولة ضمن صلاحياتهما لـ: (i) منع أحداث القوة القاهرة من التأثير على أداء التزامات الطرف بموجب أمر الشراء هذا؛ و(ii) تخفيف أثر أي حدث قوة قاهرة؛ و(iii) الامتثال لالتزاماته بموجب أمر الشراء هذا.</w:t>
      </w:r>
    </w:p>
    <w:p>
      <w:pPr>
        <w:pStyle w:val="ListParagraph"/>
        <w:numPr>
          <w:ilvl w:val="0"/>
          <w:numId w:val="7"/>
        </w:numPr>
        <w:bidi/>
        <w:spacing w:after="60" w:line="290"/>
        <w:jc w:val="start"/>
      </w:pPr>
      <w:r>
        <w:rPr>
          <w:rFonts w:ascii="Arial" w:cs="Arial" w:eastAsia="Arial" w:hAnsi="Arial"/>
          <w:b/>
          <w:bCs/>
          <w:sz w:val="22"/>
          <w:szCs w:val="22"/>
          <w:rtl/>
        </w:rPr>
        <w:t xml:space="preserve">ترتيب الأسبقية (Order of Precedence).</w:t>
      </w:r>
      <w:r>
        <w:rPr>
          <w:rFonts w:ascii="Arial" w:cs="Arial" w:eastAsia="Arial" w:hAnsi="Arial"/>
          <w:sz w:val="22"/>
          <w:szCs w:val="22"/>
          <w:rtl/>
        </w:rPr>
        <w:t xml:space="preserve"> تُحل أي تناقضات في أمر الشراء هذا بإعطاء الأسبقية بالترتيب التالي:</w:t>
      </w:r>
    </w:p>
    <w:p>
      <w:pPr>
        <w:pStyle w:val="ListParagraph"/>
        <w:numPr>
          <w:ilvl w:val="1"/>
          <w:numId w:val="2"/>
        </w:numPr>
        <w:bidi/>
        <w:spacing w:after="60" w:line="290"/>
        <w:jc w:val="start"/>
      </w:pPr>
      <w:r>
        <w:rPr>
          <w:rFonts w:ascii="Arial" w:cs="Arial" w:eastAsia="Arial" w:hAnsi="Arial"/>
          <w:sz w:val="22"/>
          <w:szCs w:val="22"/>
          <w:rtl/>
        </w:rPr>
        <w:t xml:space="preserve">i. تعديلات أمر الشراء (Purchase Order Modifications)</w:t>
      </w:r>
    </w:p>
    <w:p>
      <w:pPr>
        <w:pStyle w:val="ListParagraph"/>
        <w:numPr>
          <w:ilvl w:val="1"/>
          <w:numId w:val="2"/>
        </w:numPr>
        <w:bidi/>
        <w:spacing w:after="60" w:line="290"/>
        <w:jc w:val="start"/>
      </w:pPr>
      <w:r>
        <w:rPr>
          <w:rFonts w:ascii="Arial" w:cs="Arial" w:eastAsia="Arial" w:hAnsi="Arial"/>
          <w:sz w:val="22"/>
          <w:szCs w:val="22"/>
          <w:rtl/>
        </w:rPr>
        <w:t xml:space="preserve">ii. أمر الشراء (باستثناء المواصفات/بيان الأعمال)</w:t>
      </w:r>
    </w:p>
    <w:p>
      <w:pPr>
        <w:pStyle w:val="ListParagraph"/>
        <w:numPr>
          <w:ilvl w:val="1"/>
          <w:numId w:val="2"/>
        </w:numPr>
        <w:bidi/>
        <w:spacing w:after="60" w:line="290"/>
        <w:jc w:val="start"/>
      </w:pPr>
      <w:r>
        <w:rPr>
          <w:rFonts w:ascii="Arial" w:cs="Arial" w:eastAsia="Arial" w:hAnsi="Arial"/>
          <w:sz w:val="22"/>
          <w:szCs w:val="22"/>
          <w:rtl/>
        </w:rPr>
        <w:t xml:space="preserve">iii. شروط وأحكام أمر الشراء (Purchase Order Terms and Conditions)</w:t>
      </w:r>
    </w:p>
    <w:p>
      <w:pPr>
        <w:pStyle w:val="ListParagraph"/>
        <w:numPr>
          <w:ilvl w:val="1"/>
          <w:numId w:val="2"/>
        </w:numPr>
        <w:bidi/>
        <w:spacing w:after="60" w:line="290"/>
        <w:jc w:val="start"/>
      </w:pPr>
      <w:r>
        <w:rPr>
          <w:rFonts w:ascii="Arial" w:cs="Arial" w:eastAsia="Arial" w:hAnsi="Arial"/>
          <w:sz w:val="22"/>
          <w:szCs w:val="22"/>
          <w:rtl/>
        </w:rPr>
        <w:t xml:space="preserve">iv. بنود التدفق من العقد الرئيسي (Prime Contract flow down clauses)</w:t>
      </w:r>
    </w:p>
    <w:p>
      <w:pPr>
        <w:pStyle w:val="ListParagraph"/>
        <w:numPr>
          <w:ilvl w:val="1"/>
          <w:numId w:val="2"/>
        </w:numPr>
        <w:bidi/>
        <w:spacing w:after="60" w:line="290"/>
        <w:jc w:val="start"/>
      </w:pPr>
      <w:r>
        <w:rPr>
          <w:rFonts w:ascii="Arial" w:cs="Arial" w:eastAsia="Arial" w:hAnsi="Arial"/>
          <w:sz w:val="22"/>
          <w:szCs w:val="22"/>
          <w:rtl/>
        </w:rPr>
        <w:t xml:space="preserve">v. الوثائق والمعروضات والمرفقات الأخرى</w:t>
      </w:r>
    </w:p>
    <w:p>
      <w:pPr>
        <w:pStyle w:val="ListParagraph"/>
        <w:numPr>
          <w:ilvl w:val="1"/>
          <w:numId w:val="2"/>
        </w:numPr>
        <w:bidi/>
        <w:spacing w:after="60" w:line="290"/>
        <w:jc w:val="start"/>
      </w:pPr>
      <w:r>
        <w:rPr>
          <w:rFonts w:ascii="Arial" w:cs="Arial" w:eastAsia="Arial" w:hAnsi="Arial"/>
          <w:sz w:val="22"/>
          <w:szCs w:val="22"/>
          <w:rtl/>
        </w:rPr>
        <w:t xml:space="preserve">vi. المواصفات أو بيان الأعمال (Specification or Statement of Work)</w:t>
      </w:r>
    </w:p>
    <w:p>
      <w:pPr>
        <w:pStyle w:val="Heading2"/>
        <w:keepNext/>
        <w:bidi/>
        <w:spacing w:after="120" w:before="240"/>
        <w:jc w:val="start"/>
      </w:pPr>
      <w:r>
        <w:rPr>
          <w:rFonts w:ascii="Arial" w:cs="Arial" w:eastAsia="Arial" w:hAnsi="Arial"/>
          <w:b/>
          <w:bCs/>
          <w:color w:val="2E5597"/>
          <w:sz w:val="26"/>
          <w:szCs w:val="26"/>
          <w:rtl/>
        </w:rPr>
        <w:t xml:space="preserve">البنود المدرجة بالإحالة (حسب الاقتضاء) – Clauses Incorporated by Reference</w:t>
      </w:r>
    </w:p>
    <w:p>
      <w:pPr>
        <w:bidi/>
        <w:spacing w:after="100" w:before="0" w:line="300"/>
        <w:jc w:val="start"/>
      </w:pPr>
      <w:r>
        <w:rPr>
          <w:rFonts w:ascii="Arial" w:cs="Arial" w:eastAsia="Arial" w:hAnsi="Arial"/>
          <w:sz w:val="22"/>
          <w:szCs w:val="22"/>
          <w:rtl/>
        </w:rPr>
        <w:t xml:space="preserve">عندما يكون العمل المنفَّذ أو المستلزمات المسلَّمة بموجب أمر الشراء هذا وفق عقد أو منحة من حكومة الولايات المتحدة أو مصادر تمويل أخرى، تُعد جميع بنود التدفق ذات الصلة من العقد أو المنحة مدرجة في أمر الشراء هذا: (a) بطريقة تجعل المقاول خاضعًا لتلك البنود، حسب الاقتضاء، و(b) بالقدر اللازم لتمكين Creative من أداء التزاماتها بموجب العقد أو المنحة وتمكين مصدر التمويل (مثل وكالة حكومة الولايات المتحدة USG) من إنفاذ حقوقه بموجبه. ويتضمن أمر الشراء هذا لوائح المشتريات الفيدرالية (FAR) ولوائح الوكالة التالية حسب الاقتضاء. وإلى أقصى حد تتدفق أو تنطبق هذه البنود على المقاول، فإنها مدرجة هنا بالإحالة بنفس القوة والأثر كما لو أُوردت بنصها الكامل. وحيثما كان مناسبًا وقابلًا للتطبيق بموجب هذه البنود، تُفسَّر الإشارات إلى "الحكومة" بأنها تعني المشتري وإلى "المقاول" بأنه البائع.</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6822"/>
        <w:gridCol w:w="1463"/>
      </w:tblGrid>
      <w:tr>
        <w:trPr>
          <w:cantSplit/>
          <w:tblHeader/>
        </w:trPr>
        <w:tc>
          <w:tcPr>
            <w:tcW w:type="dxa" w:w="1461"/>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الرقم (NUMBER)</w:t>
            </w:r>
          </w:p>
        </w:tc>
        <w:tc>
          <w:tcPr>
            <w:tcW w:type="dxa" w:w="682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بنود لائحة المشتريات الفيدرالية (FAR) (48 CFR 1)</w:t>
            </w:r>
          </w:p>
        </w:tc>
        <w:tc>
          <w:tcPr>
            <w:tcW w:type="dxa" w:w="1463"/>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التاريخ (DATE)</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52.202-1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التعريفات (Definitions)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الهدايا والمكافآت (Gratuities)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1984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52.203-5</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التعهد ضد الرسوم المشروطة (Covenant Against Contingent Fees)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قيود على مبيعات المقاولين من الباطن للحكومة (Restrictions on Subcontractor Sales to the Government)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إجراءات مكافحة الرشوة (Anti-Kickback Procedures)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52.203-8</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الإلغاء والفسخ واسترداد الأموال عن نشاط غير قانوني أو غير سليم (Cancellation, Rescission, and Recovery of Funds for Illegal or Improper Activity)</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تعديل السعر أو الأتعاب عن نشاط غير قانوني أو غير سليم (Price or Fee Adjustment for Illegal or Improper Activity)</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تقييد المدفوعات للتأثير في معاملات فيدرالية معينة (Limitation on Payments to Influence Certain Federal Transactions)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مدونة أخلاقيات وسلوك الأعمال للمقاول (Contractor Code of Business Ethics and Conduct)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عرض ملصق(ات) الخط الساخن (Display of Hotline Poster(s))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52.203-15</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حماية المبلّغين بموجب قانون التعافي والاستثمار الأمريكي لعام 2009 (Whistleblower Protections Under the American Recovery and Reinvestment Act of 2009)</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2010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منع تضارب المصالح الشخصية (Preventing Personal Conflicts of Interest)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52.203-17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حقوق المبلّغين من موظفي المقاول ومتطلب إبلاغ الموظفين بحقوق المبلّغين (Contractor Employee Whistleblower Rights and Requirement to Inform Employees of Whistleblower Rights)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متطلبات الأمن (Security Requirements)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AUG 1996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الطباعة أو النسخ على وجهين على ورق ذي محتوى ألياف مُعاد تدويرها (Printed or Copied Double-Sided on Postconsumer Fiber Content Paper)</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التحقق من الهوية الشخصية لكوادر المقاول (Personal Identity Verification of Contractor Personnel)</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2011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52.204-10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الإبلاغ عن تعويضات الإدارة العليا وترسيات العقود من الباطن من الدرجة الأولى (Reporting Executive Compensation and First-Tier Subcontract Awards)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52.204-12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صيانة المعرّف الفريد للكيان (Unique Entity Identifier Maintenance)</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52.204-13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صيانة نظام إدارة الترسية (System for Award Management Maintenance)</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2018</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52.204-14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متطلبات الإبلاغ عن عقود الخدمات (Service Contract Reporting Requirements)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52.204-25</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حظر التعاقد على خدمات أو معدات اتصالات ومراقبة بالفيديو معينة (Prohibition On Contracting For Certain Telecommunications And Video Surveillance Services Or Equipment)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AUG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52.209-6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حماية مصلحة الحكومة عند التعاقد من الباطن مع مقاولين محرومين أو موقوفين أو مقترح حرمانهم (Protecting the Government's Interest When Subcontracting With Contractors Debarred, Suspended, or Proposed for Debarment)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52.209-9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تحديثات المعلومات المتاحة للعموم بشأن مسائل المسؤولية (Updates of Publicly Available Information Regarding Responsibility Matters)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2018</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52.209-10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حظر التعاقد مع الشركات المحلية المقلوبة (Prohibition on Contracting With Inverted Domestic Corporations)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NOV 2015</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التدقيق والسجلات – التفاوض (Audit and Records - Negotiation)</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تخفيض السعر عند وجود بيانات تكلفة أو تسعير معتمدة معيبة (Price Reduction for Defective Certified Cost or Pricing Data)</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AUG 2011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تخفيض السعر عند وجود بيانات تكلفة أو تسعير معتمدة معيبة – التعديلات (Price Reduction for Defective Certified Cost or Pricing Data - Modifications)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بيانات التكلفة أو التسعير المعتمدة للمقاول من الباطن (Subcontractor Certified Cost or Pricing Data)</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بيانات التكلفة أو التسعير المعتمدة للمقاول من الباطن – التعديلات (Subcontractor Certified Cost or Pricing Data - Modifications)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سلامة أسعار الوحدات (Integrity of Unit Prices)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52.215-17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التنازل عن كلفة المال لرأس مال المرافق (Waiver of Facilities Capital Cost of Money)</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1997</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52.215-23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قيود على رسوم التمرير (Limitations on Pass-Through Charges)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2009</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52.216-7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التكلفة المسموحة والدفع (Allowable Cost and Payment)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AUG 2018</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52.216-8</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الأتعاب الثابتة (Fixed Fee)</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2011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52.219-8</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الاستفادة من منشآت الأعمال الصغيرة (Utilization of Small Business Concerns)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2018</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52.219-9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خطة التعاقد من الباطن مع الأعمال الصغيرة (Small business subcontracting plan)</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52.219-16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التعويضات المقطوعة – خطة التعاقد من الباطن (Liquidated Damages - Subcontracting Plan)</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1999</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52.222-21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حظر المرافق المفصولة (Prohibition of segregated facilities)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2015</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52.222-26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تكافؤ الفرص (Equal Opportunity)</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SEP 2016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52.222-29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الإخطار برفض التأشيرة (Notification of visa denial)</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2015</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52.222-50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مكافحة الاتجار بالأشخاص (Combating Trafficking in Persons)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2019</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52.222-54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التحقق من أهلية العمل (Employment Eligibility Verification)</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OCT 2015</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52.223-6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مكان عمل خالٍ من المخدرات (Drug-Free Workplace)</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2001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52.223-18</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تشجيع سياسات المقاولين لحظر الرسائل النصية أثناء القيادة (Encouraging Contractor Policies to Ban Text Messaging While Driving)</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52.224-1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إشعار قانون الخصوصية (Privacy Act Notification)</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1984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52.224-2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قانون الخصوصية (Privacy Act)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1984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52.225-13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قيود على مشتريات أجنبية معينة (Restrictions on Certain Foreign Purchases)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2008</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52.225-19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كوادر المقاول في منطقة عمليات محددة أو الداعمة لبعثة دبلوماسية أو قنصلية خارج الولايات المتحدة (Contractor Personnel in a Designated Operational Area or Supporting a Diplomatic or Consular Mission Outside the United States)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52.227-14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الحقوق في البيانات – عام (Rights in Data-General)</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52.227-23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الحقوق في بيانات العرض (فني) (Rights to Proposal Data (Technical))</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1987</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52.228-3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تأمين تعويض العمال (قانون الدفاع الأساسي) (Workers' Compensation Insurance (Defense Base Act))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JUL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52.228-7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التأمين – المسؤولية تجاه الغير (Insurance - Liability to Third Persons)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MAR 1996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52.229-8</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الضرائب – عقود التعويض عن التكلفة الأجنبية (Taxes-Foreign Cost-Reimbursement Contracts)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MAR 1990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52.230-2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معايير محاسبة التكاليف (Cost Accounting Standards)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52.230-6</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إدارة معايير محاسبة التكاليف (Administration of Cost Accounting Standards)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2010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52.232-9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تقييد حجز المدفوعات (Limitation on Withholding of Payments)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1984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52.232-17</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الفوائد (Interest)</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52.232-40</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تقديم مدفوعات معجّلة للمقاولين من الباطن من الأعمال الصغيرة (Providing Accelerated Payments to Small Business Subcontractors)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DEC 2013</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52.237-3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استمرارية الخدمات (Continuity of Services)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1991</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52.242-1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إشعار النية بعدم إجازة التكاليف (Notice of Intent to Disallow Costs)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1984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52.242-3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عقوبات التكاليف غير المسموحة (Penalties for Unallowable Costs)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MAY 2014</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52.242-4</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اعتماد التكاليف غير المباشرة النهائية (Certification of Final Indirect Costs)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1997</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52.242-5</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المدفوعات للمقاولين من الباطن من الأعمال الصغيرة (Payments to Small Business Subcontractors)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2017</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52.244-2</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العقود من الباطن، البديل I (Subcontracts. Alternate I)</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2020</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52.244-5</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المنافسة في التعاقد من الباطن (Competition in Subcontracting)</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DEC 1996</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52.245-1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ممتلكات الحكومة (Government Property)</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2017</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52.245-9</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الاستخدام والرسوم (Use and Charges)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APR 2012</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52.247-63</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تفضيل شركات الطيران الحاملة للعلم الأمريكي (Preference for U.S.-Flag Air Carriers)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JUN 2003</w:t>
            </w:r>
          </w:p>
        </w:tc>
      </w:tr>
      <w:tr>
        <w:trPr>
          <w:cantSplit/>
        </w:trPr>
        <w:tc>
          <w:tcPr>
            <w:tcW w:type="dxa" w:w="1461"/>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52.253-1</w:t>
            </w:r>
          </w:p>
        </w:tc>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النماذج المولَّدة بالحاسوب (Computer Generated Forms)</w:t>
            </w:r>
          </w:p>
        </w:tc>
        <w:tc>
          <w:tcPr>
            <w:tcW w:type="dxa" w:w="1463"/>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JAN 1991</w:t>
            </w:r>
          </w:p>
        </w:tc>
      </w:tr>
    </w:tbl>
    <w:p>
      <w:pPr>
        <w:spacing w:after="120"/>
      </w:pPr>
    </w:p>
    <w:p>
      <w:pPr>
        <w:pStyle w:val="Heading3"/>
        <w:keepNext/>
        <w:bidi/>
        <w:spacing w:after="80" w:before="160"/>
        <w:jc w:val="start"/>
      </w:pPr>
      <w:r>
        <w:rPr>
          <w:rFonts w:ascii="Arial" w:cs="Arial" w:eastAsia="Arial" w:hAnsi="Arial"/>
          <w:b/>
          <w:bCs/>
          <w:color w:val="404040"/>
          <w:sz w:val="23"/>
          <w:szCs w:val="23"/>
          <w:rtl/>
        </w:rPr>
        <w:t xml:space="preserve">FAR 52.204-25: حظر التعاقد على خدمات أو معدات اتصالات ومراقبة بالفيديو معينة (أغسطس 2020)</w:t>
      </w:r>
    </w:p>
    <w:p>
      <w:pPr>
        <w:bidi/>
        <w:spacing w:after="100" w:before="0" w:line="300"/>
        <w:jc w:val="start"/>
      </w:pPr>
      <w:r>
        <w:rPr>
          <w:rFonts w:ascii="Arial" w:cs="Arial" w:eastAsia="Arial" w:hAnsi="Arial"/>
          <w:b/>
          <w:bCs/>
          <w:sz w:val="22"/>
          <w:szCs w:val="22"/>
          <w:rtl/>
        </w:rPr>
        <w:t xml:space="preserve">(a) التعريفات.</w:t>
      </w:r>
      <w:r>
        <w:rPr>
          <w:rFonts w:ascii="Arial" w:cs="Arial" w:eastAsia="Arial" w:hAnsi="Arial"/>
          <w:sz w:val="22"/>
          <w:szCs w:val="22"/>
          <w:rtl/>
        </w:rPr>
        <w:t xml:space="preserve"> حسب استخدامها في هذا البند—</w:t>
      </w:r>
    </w:p>
    <w:p>
      <w:pPr>
        <w:pStyle w:val="ListParagraph"/>
        <w:numPr>
          <w:ilvl w:val="0"/>
          <w:numId w:val="2"/>
        </w:numPr>
        <w:bidi/>
        <w:spacing w:after="60" w:line="290"/>
        <w:jc w:val="start"/>
      </w:pPr>
      <w:r>
        <w:rPr>
          <w:rFonts w:ascii="Arial" w:cs="Arial" w:eastAsia="Arial" w:hAnsi="Arial"/>
          <w:b/>
          <w:bCs/>
          <w:sz w:val="22"/>
          <w:szCs w:val="22"/>
          <w:rtl/>
        </w:rPr>
        <w:t xml:space="preserve">Backhaul:</w:t>
      </w:r>
      <w:r>
        <w:rPr>
          <w:rFonts w:ascii="Arial" w:cs="Arial" w:eastAsia="Arial" w:hAnsi="Arial"/>
          <w:sz w:val="22"/>
          <w:szCs w:val="22"/>
          <w:rtl/>
        </w:rPr>
        <w:t xml:space="preserve"> تعني الروابط الوسيطة بين الشبكة الأساسية أو شبكة العمود الفقري (backbone network) والشبكات الفرعية الصغيرة عند حافة الشبكة (مثل ربط الهواتف المحمولة/الأبراج بشبكة الهاتف الأساسية). ويمكن أن يكون backhaul لاسلكيًا (مثل الميكروويف) أو سلكيًا (مثل الألياف الضوئية والكابل المحوري والإيثرنت).</w:t>
      </w:r>
    </w:p>
    <w:p>
      <w:pPr>
        <w:pStyle w:val="ListParagraph"/>
        <w:numPr>
          <w:ilvl w:val="0"/>
          <w:numId w:val="2"/>
        </w:numPr>
        <w:bidi/>
        <w:spacing w:after="60" w:line="290"/>
        <w:jc w:val="start"/>
      </w:pPr>
      <w:r>
        <w:rPr>
          <w:rFonts w:ascii="Arial" w:cs="Arial" w:eastAsia="Arial" w:hAnsi="Arial"/>
          <w:b/>
          <w:bCs/>
          <w:sz w:val="22"/>
          <w:szCs w:val="22"/>
          <w:rtl/>
        </w:rPr>
        <w:t xml:space="preserve">Covered foreign country (الدولة الأجنبية المشمولة):</w:t>
      </w:r>
      <w:r>
        <w:rPr>
          <w:rFonts w:ascii="Arial" w:cs="Arial" w:eastAsia="Arial" w:hAnsi="Arial"/>
          <w:sz w:val="22"/>
          <w:szCs w:val="22"/>
          <w:rtl/>
        </w:rPr>
        <w:t xml:space="preserve"> تعني جمهورية الصين الشعبية.</w:t>
      </w:r>
    </w:p>
    <w:p>
      <w:pPr>
        <w:pStyle w:val="ListParagraph"/>
        <w:numPr>
          <w:ilvl w:val="0"/>
          <w:numId w:val="2"/>
        </w:numPr>
        <w:bidi/>
        <w:spacing w:after="60" w:line="290"/>
        <w:jc w:val="start"/>
      </w:pPr>
      <w:r>
        <w:rPr>
          <w:rFonts w:ascii="Arial" w:cs="Arial" w:eastAsia="Arial" w:hAnsi="Arial"/>
          <w:b/>
          <w:bCs/>
          <w:sz w:val="22"/>
          <w:szCs w:val="22"/>
          <w:rtl/>
        </w:rPr>
        <w:t xml:space="preserve">Covered telecommunications equipment or services (معدات أو خدمات الاتصالات المشمولة):</w:t>
      </w:r>
      <w:r>
        <w:rPr>
          <w:rFonts w:ascii="Arial" w:cs="Arial" w:eastAsia="Arial" w:hAnsi="Arial"/>
          <w:sz w:val="22"/>
          <w:szCs w:val="22"/>
          <w:rtl/>
        </w:rPr>
        <w:t xml:space="preserve"> تعني— (1) معدات الاتصالات التي تنتجها شركة Huawei Technologies Company أو شركة ZTE Corporation (أو أي شركة تابعة أو منتسبة لهذه الكيانات)؛ (2) لأغراض السلامة العامة وأمن المنشآت الحكومية ومراقبة الأمن المادي للبنية التحتية الحيوية وغيرها من أغراض الأمن القومي، معدات المراقبة بالفيديو والاتصالات التي تنتجها Hytera Communications Corporation أو Hangzhou Hikvision Digital Technology Company أو Dahua Technology Company (أو أي شركة تابعة أو منتسبة لهذه الكيانات)؛ (3) خدمات الاتصالات أو المراقبة بالفيديو التي تقدمها هذه الكيانات أو التي تستخدم هذه المعدات؛ أو (4) معدات أو خدمات الاتصالات أو المراقبة بالفيديو التي ينتجها أو يقدمها كيان يعتقد وزير الدفاع، بالتشاور مع مدير الاستخبارات الوطنية أو مدير مكتب التحقيقات الفيدرالي (FBI)، بشكل معقول أنه مملوك لحكومة دولة أجنبية مشمولة أو خاضع لسيطرتها أو مرتبط بها بشكل آخر.</w:t>
      </w:r>
    </w:p>
    <w:p>
      <w:pPr>
        <w:pStyle w:val="ListParagraph"/>
        <w:numPr>
          <w:ilvl w:val="0"/>
          <w:numId w:val="2"/>
        </w:numPr>
        <w:bidi/>
        <w:spacing w:after="60" w:line="290"/>
        <w:jc w:val="start"/>
      </w:pPr>
      <w:r>
        <w:rPr>
          <w:rFonts w:ascii="Arial" w:cs="Arial" w:eastAsia="Arial" w:hAnsi="Arial"/>
          <w:b/>
          <w:bCs/>
          <w:sz w:val="22"/>
          <w:szCs w:val="22"/>
          <w:rtl/>
        </w:rPr>
        <w:t xml:space="preserve">Critical technology (التقنية الحرجة):</w:t>
      </w:r>
      <w:r>
        <w:rPr>
          <w:rFonts w:ascii="Arial" w:cs="Arial" w:eastAsia="Arial" w:hAnsi="Arial"/>
          <w:sz w:val="22"/>
          <w:szCs w:val="22"/>
          <w:rtl/>
        </w:rPr>
        <w:t xml:space="preserve"> تعني— (1) المواد الدفاعية أو الخدمات الدفاعية المدرجة في قائمة الذخائر الأمريكية (United States Munitions List) المنصوص عليها في لوائح الاتجار الدولي بالأسلحة (ITAR)؛ (2) البنود المدرجة في قائمة رقابة التجارة (Commerce Control List) المنصوص عليها في لوائح إدارة الصادرات (Export Administration Regulations) والخاضعة للرقابة (i) بموجب أنظمة متعددة الأطراف، بما في ذلك لأسباب تتعلق بالأمن القومي أو انتشار الأسلحة الكيميائية والبيولوجية أو منع الانتشار النووي أو تقنية الصواريخ؛ أو (ii) لأسباب تتعلق بالاستقرار الإقليمي أو التنصت الخفي؛ (3) المعدات والأجزاء والمكونات والمواد والبرمجيات والتقنيات النووية المصممة والمعدة خصيصًا والمشمولة بالجزء 810 من العنوان 10 من مدونة اللوائح الفيدرالية (المتعلق بالمساعدة في أنشطة الطاقة الذرية الأجنبية)؛ (4) المنشآت والمعدات والمواد النووية المشمولة بالجزء 110 من العنوان 10 من مدونة اللوائح الفيدرالية؛ (5) العوامل والسموم المختارة (select agents and toxins) المشمولة بالجزء 331 من العنوان 7 أو الجزء 121 من العنوان 9 أو الجزء 73 من العنوان 42 من المدونة نفسها؛ أو (6) التقنيات الناشئة والأساسية الخاضعة للرقابة بموجب القسم 1758 من قانون إصلاح مراقبة الصادرات لعام 2018 (50 U.S.C. 4817).</w:t>
      </w:r>
    </w:p>
    <w:p>
      <w:pPr>
        <w:pStyle w:val="ListParagraph"/>
        <w:numPr>
          <w:ilvl w:val="0"/>
          <w:numId w:val="2"/>
        </w:numPr>
        <w:bidi/>
        <w:spacing w:after="60" w:line="290"/>
        <w:jc w:val="start"/>
      </w:pPr>
      <w:r>
        <w:rPr>
          <w:rFonts w:ascii="Arial" w:cs="Arial" w:eastAsia="Arial" w:hAnsi="Arial"/>
          <w:b/>
          <w:bCs/>
          <w:sz w:val="22"/>
          <w:szCs w:val="22"/>
          <w:rtl/>
        </w:rPr>
        <w:t xml:space="preserve">Interconnection arrangements (ترتيبات الربط البيني):</w:t>
      </w:r>
      <w:r>
        <w:rPr>
          <w:rFonts w:ascii="Arial" w:cs="Arial" w:eastAsia="Arial" w:hAnsi="Arial"/>
          <w:sz w:val="22"/>
          <w:szCs w:val="22"/>
          <w:rtl/>
        </w:rPr>
        <w:t xml:space="preserve"> تعني الترتيبات التي تحكم الربط المادي بين شبكتين أو أكثر للسماح باستخدام شبكة الآخر لتسليم الحركة حيث تُسلَّم في نهاية المطاف (مثل ربط عميل شركة الهاتف A بعميل شركة الهاتف B) أو مشاركة البيانات وموارد المعلومات الأخرى.</w:t>
      </w:r>
    </w:p>
    <w:p>
      <w:pPr>
        <w:pStyle w:val="ListParagraph"/>
        <w:numPr>
          <w:ilvl w:val="0"/>
          <w:numId w:val="2"/>
        </w:numPr>
        <w:bidi/>
        <w:spacing w:after="60" w:line="290"/>
        <w:jc w:val="start"/>
      </w:pPr>
      <w:r>
        <w:rPr>
          <w:rFonts w:ascii="Arial" w:cs="Arial" w:eastAsia="Arial" w:hAnsi="Arial"/>
          <w:b/>
          <w:bCs/>
          <w:sz w:val="22"/>
          <w:szCs w:val="22"/>
          <w:rtl/>
        </w:rPr>
        <w:t xml:space="preserve">Reasonable inquiry (الاستفسار المعقول):</w:t>
      </w:r>
      <w:r>
        <w:rPr>
          <w:rFonts w:ascii="Arial" w:cs="Arial" w:eastAsia="Arial" w:hAnsi="Arial"/>
          <w:sz w:val="22"/>
          <w:szCs w:val="22"/>
          <w:rtl/>
        </w:rPr>
        <w:t xml:space="preserve"> يعني استفسارًا مصممًا لكشف أي معلومات في حوزة الكيان عن هوية منتج أو مقدّم معدات أو خدمات الاتصالات المشمولة التي يستخدمها الكيان، ويستثني الحاجة إلى تضمين تدقيق داخلي أو من طرف ثالث.</w:t>
      </w:r>
    </w:p>
    <w:p>
      <w:pPr>
        <w:pStyle w:val="ListParagraph"/>
        <w:numPr>
          <w:ilvl w:val="0"/>
          <w:numId w:val="2"/>
        </w:numPr>
        <w:bidi/>
        <w:spacing w:after="60" w:line="290"/>
        <w:jc w:val="start"/>
      </w:pPr>
      <w:r>
        <w:rPr>
          <w:rFonts w:ascii="Arial" w:cs="Arial" w:eastAsia="Arial" w:hAnsi="Arial"/>
          <w:b/>
          <w:bCs/>
          <w:sz w:val="22"/>
          <w:szCs w:val="22"/>
          <w:rtl/>
        </w:rPr>
        <w:t xml:space="preserve">Roaming (التجوال):</w:t>
      </w:r>
      <w:r>
        <w:rPr>
          <w:rFonts w:ascii="Arial" w:cs="Arial" w:eastAsia="Arial" w:hAnsi="Arial"/>
          <w:sz w:val="22"/>
          <w:szCs w:val="22"/>
          <w:rtl/>
        </w:rPr>
        <w:t xml:space="preserve"> يعني خدمات الاتصالات الخلوية (مثل الصوت والفيديو والبيانات) المستلمة من شبكة زائرة عند عدم القدرة على الاتصال بمرافق الشبكة الأم إما لأن تغطية الإشارة ضعيفة جدًا أو لأن الحركة مرتفعة جدًا.</w:t>
      </w:r>
    </w:p>
    <w:p>
      <w:pPr>
        <w:pStyle w:val="ListParagraph"/>
        <w:numPr>
          <w:ilvl w:val="0"/>
          <w:numId w:val="2"/>
        </w:numPr>
        <w:bidi/>
        <w:spacing w:after="60" w:line="290"/>
        <w:jc w:val="start"/>
      </w:pPr>
      <w:r>
        <w:rPr>
          <w:rFonts w:ascii="Arial" w:cs="Arial" w:eastAsia="Arial" w:hAnsi="Arial"/>
          <w:b/>
          <w:bCs/>
          <w:sz w:val="22"/>
          <w:szCs w:val="22"/>
          <w:rtl/>
        </w:rPr>
        <w:t xml:space="preserve">Substantial or essential component (المكوّن الجوهري أو الأساسي):</w:t>
      </w:r>
      <w:r>
        <w:rPr>
          <w:rFonts w:ascii="Arial" w:cs="Arial" w:eastAsia="Arial" w:hAnsi="Arial"/>
          <w:sz w:val="22"/>
          <w:szCs w:val="22"/>
          <w:rtl/>
        </w:rPr>
        <w:t xml:space="preserve"> يعني أي مكوّن ضروري للأداء أو الوظيفة السليمة لقطعة معدات أو نظام أو خدمة.</w:t>
      </w:r>
    </w:p>
    <w:p>
      <w:pPr>
        <w:bidi/>
        <w:spacing w:after="100" w:before="0" w:line="300"/>
        <w:jc w:val="start"/>
      </w:pPr>
      <w:r>
        <w:rPr>
          <w:rFonts w:ascii="Arial" w:cs="Arial" w:eastAsia="Arial" w:hAnsi="Arial"/>
          <w:b/>
          <w:bCs/>
          <w:sz w:val="22"/>
          <w:szCs w:val="22"/>
          <w:rtl/>
        </w:rPr>
        <w:t xml:space="preserve">(b) الحظر.</w:t>
      </w:r>
    </w:p>
    <w:p>
      <w:pPr>
        <w:bidi/>
        <w:spacing w:after="100" w:before="0" w:line="300"/>
        <w:jc w:val="start"/>
      </w:pPr>
      <w:r>
        <w:rPr>
          <w:rFonts w:ascii="Arial" w:cs="Arial" w:eastAsia="Arial" w:hAnsi="Arial"/>
          <w:sz w:val="22"/>
          <w:szCs w:val="22"/>
          <w:rtl/>
        </w:rPr>
        <w:t xml:space="preserve">(1) يحظر القسم 889(a)(1)(A) من قانون تفويض الدفاع الوطني لعام 2019 (Pub. L. 115-232) على رئيس أي وكالة تنفيذية، اعتبارًا من 13 أغسطس 2019، شراء أو الحصول على، أو تمديد أو تجديد عقد لشراء أو الحصول على، أي معدات أو نظام أو خدمة تستخدم معدات أو خدمات اتصالات مشمولة كمكوّن جوهري أو أساسي في أي نظام، أو كتقنية حرجة كجزء من أي نظام. ويُحظر على المقاول تقديم أي معدات أو نظام أو خدمة إلى الحكومة تستخدم معدات أو خدمات اتصالات مشمولة كمكوّن جوهري أو أساسي في أي نظام، أو كتقنية حرجة كجزء من أي نظام، ما لم ينطبق استثناء في الفقرة (c) من هذا البند أو كانت معدات أو خدمات الاتصالات المشمولة مشمولة بتنازل (waiver) موصوف في FAR 4.2104.</w:t>
      </w:r>
    </w:p>
    <w:p>
      <w:pPr>
        <w:bidi/>
        <w:spacing w:after="100" w:before="0" w:line="300"/>
        <w:jc w:val="start"/>
      </w:pPr>
      <w:r>
        <w:rPr>
          <w:rFonts w:ascii="Arial" w:cs="Arial" w:eastAsia="Arial" w:hAnsi="Arial"/>
          <w:sz w:val="22"/>
          <w:szCs w:val="22"/>
          <w:rtl/>
        </w:rPr>
        <w:t xml:space="preserve">(2) يحظر القسم 889(a)(1)(B) من القانون نفسه على رئيس أي وكالة تنفيذية، اعتبارًا من 13 أغسطس 2020، إبرام عقد، أو تمديد أو تجديد عقد، مع كيان يستخدم أي معدات أو نظام أو خدمة تستخدم معدات أو خدمات اتصالات مشمولة كمكوّن جوهري أو أساسي في أي نظام، أو كتقنية حرجة كجزء من أي نظام، ما لم ينطبق استثناء في الفقرة (c) من هذا البند أو كانت معدات أو خدمات الاتصالات المشمولة مشمولة بتنازل موصوف في FAR 4.2104. وينطبق هذا الحظر على استخدام معدات أو خدمات الاتصالات المشمولة، بصرف النظر عما إذا كان هذا الاستخدام في تنفيذ عمل بموجب عقد فيدرالي.</w:t>
      </w:r>
    </w:p>
    <w:p>
      <w:pPr>
        <w:bidi/>
        <w:spacing w:after="100" w:before="0" w:line="300"/>
        <w:jc w:val="start"/>
      </w:pPr>
      <w:r>
        <w:rPr>
          <w:rFonts w:ascii="Arial" w:cs="Arial" w:eastAsia="Arial" w:hAnsi="Arial"/>
          <w:b/>
          <w:bCs/>
          <w:sz w:val="22"/>
          <w:szCs w:val="22"/>
          <w:rtl/>
        </w:rPr>
        <w:t xml:space="preserve">(c) الاستثناءات.</w:t>
      </w:r>
      <w:r>
        <w:rPr>
          <w:rFonts w:ascii="Arial" w:cs="Arial" w:eastAsia="Arial" w:hAnsi="Arial"/>
          <w:sz w:val="22"/>
          <w:szCs w:val="22"/>
          <w:rtl/>
        </w:rPr>
        <w:t xml:space="preserve"> لا يحظر هذا البند على المقاولين تقديم— (1) خدمة ترتبط بمرافق طرف ثالث، مثل ترتيبات backhaul أو roaming أو الربط البيني؛ أو (2) معدات اتصالات لا تستطيع توجيه حركة بيانات المستخدم أو إعادة توجيهها أو لا تسمح بالاطلاع على أي بيانات أو حزم للمستخدم تنقلها هذه المعدات أو تعالجها بخلاف ذلك.</w:t>
      </w:r>
    </w:p>
    <w:p>
      <w:pPr>
        <w:bidi/>
        <w:spacing w:after="100" w:before="0" w:line="300"/>
        <w:jc w:val="start"/>
      </w:pPr>
      <w:r>
        <w:rPr>
          <w:rFonts w:ascii="Arial" w:cs="Arial" w:eastAsia="Arial" w:hAnsi="Arial"/>
          <w:b/>
          <w:bCs/>
          <w:sz w:val="22"/>
          <w:szCs w:val="22"/>
          <w:rtl/>
        </w:rPr>
        <w:t xml:space="preserve">(d) متطلب الإبلاغ.</w:t>
      </w:r>
    </w:p>
    <w:p>
      <w:pPr>
        <w:bidi/>
        <w:spacing w:after="100" w:before="0" w:line="300"/>
        <w:jc w:val="start"/>
      </w:pPr>
      <w:r>
        <w:rPr>
          <w:rFonts w:ascii="Arial" w:cs="Arial" w:eastAsia="Arial" w:hAnsi="Arial"/>
          <w:sz w:val="22"/>
          <w:szCs w:val="22"/>
          <w:rtl/>
        </w:rPr>
        <w:t xml:space="preserve">(1) في حال حدد المقاول معدات أو خدمات اتصالات مشمولة مستخدمة كمكوّن جوهري أو أساسي في أي نظام، أو كتقنية حرجة كجزء من أي نظام، أثناء تنفيذ العقد، أو أُخطر المقاول بذلك من مقاول من الباطن على أي مستوى أو من أي مصدر آخر، فعلى المقاول الإبلاغ عن المعلومات الواردة في الفقرة (d)(2) من هذا البند إلى ضابط التعاقد (Contracting Officer)، ما لم تُحدَّد في موضع آخر من هذا العقد إجراءات للإبلاغ عن المعلومات؛ وفي حالة وزارة الدفاع، يبلّغ المقاول عبر الموقع https://dibnet.dod.mil. وفي حالة العقود غير المحددة التسليم (indefinite delivery contracts)، يبلّغ المقاول ضابط التعاقد للعقد غير المحدد التسليم وضباط التعاقد لأي أمر متأثر، أو في حالة وزارة الدفاع، يحدد كلًّا من العقد غير المحدد التسليم وأي أوامر متأثرة في التقرير المقدَّم على https://dibnet.dod.mil.</w:t>
      </w:r>
    </w:p>
    <w:p>
      <w:pPr>
        <w:bidi/>
        <w:spacing w:after="100" w:before="0" w:line="300"/>
        <w:jc w:val="start"/>
      </w:pPr>
      <w:r>
        <w:rPr>
          <w:rFonts w:ascii="Arial" w:cs="Arial" w:eastAsia="Arial" w:hAnsi="Arial"/>
          <w:sz w:val="22"/>
          <w:szCs w:val="22"/>
          <w:rtl/>
        </w:rPr>
        <w:t xml:space="preserve">(2) يبلّغ المقاول بالمعلومات التالية عملًا بالفقرة (d)(1) من هذا البند:</w:t>
      </w:r>
    </w:p>
    <w:p>
      <w:pPr>
        <w:pStyle w:val="ListParagraph"/>
        <w:numPr>
          <w:ilvl w:val="1"/>
          <w:numId w:val="2"/>
        </w:numPr>
        <w:bidi/>
        <w:spacing w:after="60" w:line="290"/>
        <w:jc w:val="start"/>
      </w:pPr>
      <w:r>
        <w:rPr>
          <w:rFonts w:ascii="Arial" w:cs="Arial" w:eastAsia="Arial" w:hAnsi="Arial"/>
          <w:sz w:val="22"/>
          <w:szCs w:val="22"/>
          <w:rtl/>
        </w:rPr>
        <w:t xml:space="preserve">(i) خلال يوم عمل واحد من تاريخ هذا التحديد أو الإخطار: رقم العقد؛ ورقم/أرقام الأمر، إن وجدت؛ واسم المورّد؛ والمعرّف الفريد للكيان للمورّد (إن عُلم)؛ ورمز CAGE للمورّد (إن عُلم)؛ والماركة؛ ورقم الموديل (رقم الشركة المصنّعة الأصلية أو رقم قطعة المصنّع أو رقم تاجر الجملة)؛ ووصف البند؛ وأي معلومات متاحة بسهولة عن إجراءات التخفيف المتخذة أو الموصى بها.</w:t>
      </w:r>
    </w:p>
    <w:p>
      <w:pPr>
        <w:pStyle w:val="ListParagraph"/>
        <w:numPr>
          <w:ilvl w:val="1"/>
          <w:numId w:val="2"/>
        </w:numPr>
        <w:bidi/>
        <w:spacing w:after="60" w:line="290"/>
        <w:jc w:val="start"/>
      </w:pPr>
      <w:r>
        <w:rPr>
          <w:rFonts w:ascii="Arial" w:cs="Arial" w:eastAsia="Arial" w:hAnsi="Arial"/>
          <w:sz w:val="22"/>
          <w:szCs w:val="22"/>
          <w:rtl/>
        </w:rPr>
        <w:t xml:space="preserve">(ii) خلال 10 أيام عمل من تقديم المعلومات في الفقرة (d)(2)(i) من هذا البند: أي معلومات إضافية متاحة عن إجراءات التخفيف المتخذة أو الموصى بها. وإضافة إلى ذلك، يصف المقاول الجهود التي بذلها لمنع استخدام أو تقديم معدات أو خدمات اتصالات مشمولة، وأي جهود إضافية ستُدرج لمنع الاستخدام أو التقديم مستقبلًا لمعدات أو خدمات اتصالات مشمولة.</w:t>
      </w:r>
    </w:p>
    <w:p>
      <w:pPr>
        <w:bidi/>
        <w:spacing w:after="100" w:before="0" w:line="300"/>
        <w:jc w:val="start"/>
      </w:pPr>
      <w:r>
        <w:rPr>
          <w:rFonts w:ascii="Arial" w:cs="Arial" w:eastAsia="Arial" w:hAnsi="Arial"/>
          <w:b/>
          <w:bCs/>
          <w:sz w:val="22"/>
          <w:szCs w:val="22"/>
          <w:rtl/>
        </w:rPr>
        <w:t xml:space="preserve">(e) العقود من الباطن.</w:t>
      </w:r>
      <w:r>
        <w:rPr>
          <w:rFonts w:ascii="Arial" w:cs="Arial" w:eastAsia="Arial" w:hAnsi="Arial"/>
          <w:sz w:val="22"/>
          <w:szCs w:val="22"/>
          <w:rtl/>
        </w:rPr>
        <w:t xml:space="preserve"> يُدرج المقاول جوهر هذا البند، بما في ذلك هذه الفقرة (e) ودون الفقرة (b)(2)، في جميع العقود من الباطن والصكوك التعاقدية الأخرى، بما في ذلك العقود من الباطن لشراء البنود التجارية.</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الملحق VII: جدول الكميات — المواصفات الفنية المرجعية (Bill of Quantities — Reference Technical Specifications)</w:t>
      </w:r>
    </w:p>
    <w:p>
      <w:pPr>
        <w:bidi/>
        <w:spacing w:after="100" w:before="0" w:line="300"/>
        <w:jc w:val="start"/>
      </w:pPr>
      <w:r>
        <w:rPr>
          <w:rFonts w:ascii="Arial" w:cs="Arial" w:eastAsia="Arial" w:hAnsi="Arial"/>
          <w:sz w:val="22"/>
          <w:szCs w:val="22"/>
          <w:rtl/>
        </w:rPr>
        <w:t xml:space="preserve">تحدد المواصفات المرجعية أدناه خطوط أساس دنيا محايدة تجاه الموردين (vendor-neutral) وقائمة على الأداء لبنية مركز البيانات التحتية الموصوفة في بيان الأعمال (الملحق I). وبما يتسق مع الملحق I، القسم 1 (الغرض) والقسم 3 (بيان الأعمال)، فإن هذا الملحق قائم على الأداء ولا يحدد أي علامة تجارية أو موديل أو مصنّع. ويظل كل مقدّم عرض مسؤولًا عن تطوير وتقديم جدول كميات مفصّل محايد تجاه مقدّمي العروض خاص به بمواصفات قائمة على الأداء، مع اقتراح أي حل مكافئ أو أفضل يستوفي أو يتجاوز خطوط الأساس المنصوص عليها أدناه، إلى جانب الميزانية التفصيلية المطلوبة بموجب الملحق I.</w:t>
      </w:r>
    </w:p>
    <w:p>
      <w:pPr>
        <w:bidi/>
        <w:spacing w:after="100" w:before="0" w:line="300"/>
        <w:jc w:val="start"/>
      </w:pPr>
      <w:r>
        <w:rPr>
          <w:rFonts w:ascii="Arial" w:cs="Arial" w:eastAsia="Arial" w:hAnsi="Arial"/>
          <w:sz w:val="22"/>
          <w:szCs w:val="22"/>
          <w:rtl/>
        </w:rPr>
        <w:t xml:space="preserve">حيثما يُذكر رقم محدد (مثل عدد الأنوية core count وسعة الذاكرة وسرعة المنفذ وIOPS)، فإنه يمثل حدًا أدنى. ويجوز لمقدّمي العروض اقتراح مكوّن بديل من أي مصنّع، شريطة أن يستوفي البند المقترح الحد المذكور أو يتجاوزه وأن يُحال بوضوح إلى بند الجدول المقابل أدناه.</w:t>
      </w:r>
    </w:p>
    <w:p>
      <w:pPr>
        <w:pStyle w:val="Heading2"/>
        <w:keepNext/>
        <w:bidi/>
        <w:spacing w:after="120" w:before="240"/>
        <w:jc w:val="start"/>
      </w:pPr>
      <w:r>
        <w:rPr>
          <w:rFonts w:ascii="Arial" w:cs="Arial" w:eastAsia="Arial" w:hAnsi="Arial"/>
          <w:b/>
          <w:bCs/>
          <w:color w:val="2E5597"/>
          <w:sz w:val="26"/>
          <w:szCs w:val="26"/>
          <w:rtl/>
        </w:rPr>
        <w:t xml:space="preserve">1. خادم مؤسسي عالي الكثافة — البنية التحتية الأساسية (4 وحدات)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خادم مؤسسي عالي الكثافة (High-Density Enterprise Server)</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معدات مطابقة للمعايير</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الشكل (Form Factor)</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هيكل 4U عالي الكثافة قابل للتركيب في الرف (Rack-Mountable)، يشمل طقم قضبان (rail kit) وذراع إدارة كابلات (cable-management arm)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المعالجات (Processors)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معالجات مؤسسية من أحدث جيل؛ 64 نواة على الأقل لكل مقبس (socket)؛ التردد الأساسي ≥ 2.4 GHz؛ ذاكرة L3 cache ≥ 336 MB لكل مقبس، أو معالج مكافئ يستوفي هذه الحدود أو يتجاوزها؛ 8 معالجات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8</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CPU</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تُقبل أنواع معالجات بديلة إذا استُوفيت الحدود الدنيا أو تم تجاوزها</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الذاكرة (RAM)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ذاكرة DDR5-6400 MT/s ECC Registered بسعة 512 GB لكل خادم؛ يجب ألا تقل كل شريحة DIMM عن 64 GB</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2048</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GB</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الإجمالي عبر 4 خوادم</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 مؤسسية NVMe Mixed-Use SFF Hot-Plug بسعة 1.6 TB لكل خادم؛ يُفضَّل أن تكون الخانات قابلة للوصول من الأمام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8</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Drive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الاستبدال الساخن (Hot-swap) مطلوب</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RAID / التخزين</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تخزين عتادي (hardware) مع ذاكرة تخزين مؤقت (cache) وحماية من فقدان الطاقة؛ يدعم RAID 0 و1 و5 و6 و10 و50 و60 مع Mixed Mode</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Controller</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LAN</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شبكة 10GbE بمنفذين من نوع BASE-T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FC</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HBA بتقنية Fibre Channel بسرعة 32 Gb ومنفذين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موصّلات SFP الضوئية</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 × موصّل SFP+ ضوئي 32 Gb Short-Wave (SW) لكل خادم، متوافق مع المحوّل/HBA المقابل</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8</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كابلات التوصيل (Patch Cords)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 × كابل ألياف متعدد الأنماط OM4 من نوع LC إلى LC مزدوج لكل خادم، بطول مناسب للخزانة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8</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Cable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الإدارة عن بُعد (Remote Management)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ترخيص إدارة عن بُعد متقدم خارج النطاق (out-of-band) مع تشفير كامل</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License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الطاقة (Power System)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مصدر طاقة كامل احتياطي قابل للاستبدال الساخن (1+1، عالي الكفاءة)؛ بقدرة ≥ 800 W لكل مصدر طاقة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System</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التبريد (Cooling)</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طقم مراوح احتياطي عالي الأداء قابل للاستبدال الساخن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Kit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التثبيت (Mounting)</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طقم قضبان تركيب في الرف مع ذراع إدارة كابلات، معتمد للتركيب في الخزانة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Kit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الملحقات (Accessories)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جميع أقفاص أقراص NVMe ووصلات PCIe risers ومشتتات حرارة المعالجات وملحقات التركيب المطلوبة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الضمان والدعم (Warranty &amp; Support)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دعم مؤسسي في الموقع لمدة 3 سنوات (24/7) بزمن استجابة 4 ساعات؛ يجب الاحتفاظ بمخزون قطع غيار محلي وإتاحته مباشرة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Years</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ضمان مدعوم من المصنّع مطلوب</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المعمارية (Architecture)</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معمارية موحدة من مورّد واحد (Single-vendor) لجميع المكونات الرئيسية (المعالجات والذاكرة ومتحكمات التخزين والطاقة)؛ مكونات أصلية ومعتمدة من المصنّع فقط، قابلة للتتبع إلى أرقام القطع الرسمية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pStyle w:val="Heading2"/>
        <w:keepNext/>
        <w:bidi/>
        <w:spacing w:after="120" w:before="240"/>
        <w:jc w:val="start"/>
      </w:pPr>
      <w:r>
        <w:rPr>
          <w:rFonts w:ascii="Arial" w:cs="Arial" w:eastAsia="Arial" w:hAnsi="Arial"/>
          <w:b/>
          <w:bCs/>
          <w:color w:val="2E5597"/>
          <w:sz w:val="26"/>
          <w:szCs w:val="26"/>
          <w:rtl/>
        </w:rPr>
        <w:t xml:space="preserve">2. خادم مؤسسي للذكاء الاصطناعي/التسريع (2 وحدة)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خادم مؤسسي للذكاء الاصطناعي والتسريع (Enterprise AI &amp; Acceleration Server)</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الشكل (Form Factor)</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هيكل 4U مُحسَّن للذكاء الاصطناعي/GPU قابل للتركيب في الرف، يشمل طقم قضبان وذراع إدارة كابلات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المعالجات (Processors)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معالجات مؤسسية من أحدث جيل؛ 64 نواة على الأقل لكل مقبس؛ التردد الأساسي ≥ 2.4 GHz؛ ذاكرة L3 cache ≥ 336 MB لكل مقبس، أو معالج مكافئ يستوفي هذه الحدود أو يتجاوزها؛ 4 معالجات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CPU</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الذاكرة (RAM)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ذاكرة DDR5-6400 ECC Registered بسعة 512 GB لكل خادم؛ يجب ألا تقل كل شريحة DIMM عن 64 GB</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1024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GB</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الإجمالي عبر خادمين</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GPU / المسرّعات (Accelerators)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وحدات معالجة رسوميات (GPU) مؤسسية من نوع PCIe بذاكرة عالية النطاق (HBM) ≥ 141 GB لكل بطاقة، بفئة أداء مماثلة أو أعلى من مسرّعات الذكاء الاصطناعي الحالية لمراكز البيانات؛ 4 بطاقات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تُقبل البدائل المكافئة في الأداء</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وصلة GPU البينية (GPU Interconnect)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جسر ربط بيني عالي السرعة رباعي الاتجاهات (4-way) لوحدات GPU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 مؤسسية NVMe بسعة 1.92 TB</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Drive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RAID / التخزين</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تخزين عتادي يدعم RAID 6 عتاديًا مع أقراص NVMe</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Controller</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الشبكة (Network Adapter)</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شبكة عالي السرعة 100GbE بمنفذين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FC</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HBA بتقنية Fibre Channel بسرعة 32 Gb ومنفذين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موصّلات SFP الضوئية</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 × موصّل SFP+ ضوئي 32 Gb SW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الإدارة عن بُعد</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ترخيص إدارة عن بُعد مؤسسي متقدم، كامل الميزات</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License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الطاقة (Power System)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مصدر طاقة كامل احتياطي قابل للاستبدال الساخن (1+1، عالي الكفاءة)؛ بقدرة ≥ 2200 W لكل مصدر طاقة؛ وحدات طاقة معتمدة لدعم أحمال الذكاء الاصطناعي/المسرّعات؛ جاهزة لـ ATX 3.0 / PCIe Gen 5 مع كابلات وموصّلات طاقة مخصصة لوحدات GPU</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System</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حزمة التثبيت والضمان (Mounting &amp; Warranty Bundle)</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طقم قضبان تركيب في الرف إضافة إلى دعم مؤسسي في الموقع لمدة 3 سنوات (24/7)</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الضمان والدعم (Warranty &amp; Support)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دعم مؤسسي في الموقع لمدة 3 سنوات (24/7) بزمن استجابة 4 ساعات؛ يجب الاحتفاظ بمخزون قطع غيار محلي وإتاحته مباشرة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Years</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المعمارية (Architecture)</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معمارية موحدة من مورّد واحد لجميع المكونات الرئيسية؛ مكونات أصلية ومعتمدة من المصنّع فقط، قابلة للتتبع إلى أرقام القطع الرسمية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pStyle w:val="Heading2"/>
        <w:keepNext/>
        <w:bidi/>
        <w:spacing w:after="120" w:before="240"/>
        <w:jc w:val="start"/>
      </w:pPr>
      <w:r>
        <w:rPr>
          <w:rFonts w:ascii="Arial" w:cs="Arial" w:eastAsia="Arial" w:hAnsi="Arial"/>
          <w:b/>
          <w:bCs/>
          <w:color w:val="2E5597"/>
          <w:sz w:val="26"/>
          <w:szCs w:val="26"/>
          <w:rtl/>
        </w:rPr>
        <w:t xml:space="preserve">3. خادم رف مؤسسي — البنية التحتية الأساسية (5 وحدات)</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خادم مؤسسي عالي الكثافة (بمعمارية OEM من مورّد واحد)</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الشكل (Form Factor)</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هيكل 2U عالي الكثافة قابل للتركيب في الرف، يشمل طقم قضبان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المعالجات (Processors)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معالجات مؤسسية؛ 24 نواة على الأقل لكل مقبس؛ التردد الأساسي ≥ 2 GHz؛ ذاكرة L3 cache ≥ 15 MB لكل مقبس، أو معالج مكافئ يستوفي هذه الحدود أو يتجاوزها</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CPU</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تُقبل أنواع معالجات بديلة إذا استُوفيت الحدود الدنيا أو تم تجاوزها</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الذاكرة (RAM)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ذاكرة DDR5-6400 MT/s ECC Registered بسعة 64 GB لكل خادم؛ يجب ألا تقل كل شريحة DIMM عن 32 GB</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320</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GB</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الإجمالي عبر 5 خوادم</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أقراص SSD مؤسسية Mixed-Use SFF Hot-Plug بسعة 960 GB لكل خادم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10</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Drive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استبدال ساخن (Hot-swap)</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RAID / التخزين</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متحكم تخزين عتادي مع cache وحماية من فقدان الطاقة؛ يدعم RAID 0 و1 و5 و6 و10</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Controller</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LAN</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بطاقة شبكة مدمجة بمنفذي RJ-45 (2 × 1GbE)، السرعة ≥ 1 Gbps</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Card</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الطاقة (Power System)</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مصدر طاقة كامل احتياطي قابل للاستبدال الساخن (1+1، عالي الكفاءة)؛ بقدرة ≥ 800 W لكل مصدر طاقة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System</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التثبيت (Mounting)</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طقم قضبان تركيب في الرف مع ذراع إدارة كابلات، معتمد للتركيب في الخزانة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Kit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الضمان والدعم (Warranty &amp; Support)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دعم مؤسسي في الموقع لمدة 3 سنوات (24/7) بزمن استجابة 4 ساعات؛ يجب الاحتفاظ بمخزون قطع غيار محلي وإتاحته مباشرة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Years</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المعمارية (Architecture)</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معمارية موحدة من مورّد واحد لجميع المكونات الرئيسية؛ مكونات أصلية ومعتمدة من المصنّع فقط، قابلة للتتبع إلى أرقام القطع الرسمية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pStyle w:val="Heading2"/>
        <w:keepNext/>
        <w:bidi/>
        <w:spacing w:after="120" w:before="240"/>
        <w:jc w:val="start"/>
      </w:pPr>
      <w:r>
        <w:rPr>
          <w:rFonts w:ascii="Arial" w:cs="Arial" w:eastAsia="Arial" w:hAnsi="Arial"/>
          <w:b/>
          <w:bCs/>
          <w:color w:val="2E5597"/>
          <w:sz w:val="26"/>
          <w:szCs w:val="26"/>
          <w:rtl/>
        </w:rPr>
        <w:t xml:space="preserve">4. نظام تخزين SAN مؤسسي (فئة SFF)</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تخزين SAN مؤسسي عالي الأداء من الجيل التالي بالكامل من نوع NVMe (all-NVMe)، بأداء مستدام يتجاوز 1.2M IOPS عبر عقدتَي نظام التخزين كلتيهما</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System</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المعمارية (Architecture)</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معمارية all-flash من طرف إلى طرف بتقنية NVMe مع زمن استجابة أقل من ميلي ثانية (&lt; 0.5 ms)</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System</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المتحكمات (Controllers)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 × متحكمات تخزين عالية الأداء ثنائية العقدة نشطة-نشطة (active-active) (عقدتان لكل نظام)</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Controller</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موزَّعة الأحمال، بلا نقطة فشل منفردة</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السعة القابلة للاستخدام (Usable Capacity)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سعة قابلة للاستخدام ≥ 450 TB بعد حماية RAID/المرونة الديناميكية (dynamic-resiliency)، باستثناء إزالة التكرار (deduplication) والضغط (compression)، وبعد تخصيص مساحة التماثل (parity) والاحتياط الساخن (hot-spare)</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TB (≥450)</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تقليل البيانات (Data Reduction)</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إزالة تكرار وضغط مضمَّنان (inline) مسرَّعان عتاديًا، مع نسبة تقليل بيانات مضمونة ≥ 4:1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Feature</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التراخيص والخدمات (Licensing &amp; Services)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ترخيص كامل للنسخ المتماثل عن بُعد المتزامن/غير المتزامن (remote replication) واللقطات (snapshots) والتزويد الرقيق (thin provisioning) وخدمات الكتل/الملفات الموحدة (unified block/file)</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منافذ المضيف (Host Ports)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16 × منفذ Fibre Channel بسرعة 32 Gb + 8 × منافذ 25GbE من نوع iSCSI/NVMe-oF</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Port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SFP والكابلات</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16 × موصّل SFP+ بسرعة 32 Gb + 16 × كابل ألياف LC إلى LC مزدوج OM4 للتوصيل المباشر بالمحوّل (switch)</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الطاقة والدعم (Power &amp; Support)</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مصدرا طاقة ووحدتا مراوح احتياطية قابلة للاستبدال الساخن؛ دعم مؤسسي في الموقع لمدة 3 سنوات (24/7)، زمن استجابة 4 ساعات</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pStyle w:val="Heading2"/>
        <w:keepNext/>
        <w:bidi/>
        <w:spacing w:after="120" w:before="240"/>
        <w:jc w:val="start"/>
      </w:pPr>
      <w:r>
        <w:rPr>
          <w:rFonts w:ascii="Arial" w:cs="Arial" w:eastAsia="Arial" w:hAnsi="Arial"/>
          <w:b/>
          <w:bCs/>
          <w:color w:val="2E5597"/>
          <w:sz w:val="26"/>
          <w:szCs w:val="26"/>
          <w:rtl/>
        </w:rPr>
        <w:t xml:space="preserve">5. محوّلا SAN مؤسسيان ثنائيان بتقنية Fibre Channel (Fabric A/B)</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SAN مؤسسي Fibre Channel بسرعة 32 Gb، بإعداد ثنائي النسيج (dual-fabric) (Fabric A/B)، بأداء وكثافة منافذ مكافئة لـ FC directors مؤسسية بسرعة 32 Gb من الجيل الحالي</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Switch</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المنافذ النشطة والترخيص</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16 منفذ Fibre Channel نشطًا ومرخَّصًا لكل محوّل (32 منفذًا نشطًا إجمالًا عبر المحوّلين)</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Port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موصّلات SFP</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 × موصّل Fibre Channel SFP+ من نوع Short-Wave (SW) بسرعة 32 Gb لجميع المنافذ النشطة (16 SFP لكل محوّل)</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البرمجيات والترخيص</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نظام تشغيل نسيج (fabric OS) مؤسسي كامل وترخيص برمجيات متقدم، بما في ذلك ISL trunking وقدرة fabric-vision/المراقبة</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pStyle w:val="Heading2"/>
        <w:keepNext/>
        <w:bidi/>
        <w:spacing w:after="120" w:before="240"/>
        <w:jc w:val="start"/>
      </w:pPr>
      <w:r>
        <w:rPr>
          <w:rFonts w:ascii="Arial" w:cs="Arial" w:eastAsia="Arial" w:hAnsi="Arial"/>
          <w:b/>
          <w:bCs/>
          <w:color w:val="2E5597"/>
          <w:sz w:val="26"/>
          <w:szCs w:val="26"/>
          <w:rtl/>
        </w:rPr>
        <w:t xml:space="preserve">6. محوّل مركز بيانات (48×25G SFP28 + 6×100G QSFP28)</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466"/>
        <w:gridCol w:w="812"/>
        <w:gridCol w:w="812"/>
        <w:gridCol w:w="2032"/>
      </w:tblGrid>
      <w:tr>
        <w:trPr>
          <w:cantSplit/>
          <w:tblHeader/>
        </w:trPr>
        <w:tc>
          <w:tcPr>
            <w:tcW w:type="dxa" w:w="16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 / المكوّن</w:t>
            </w:r>
          </w:p>
        </w:tc>
        <w:tc>
          <w:tcPr>
            <w:tcW w:type="dxa" w:w="446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المواصفة الفنية (محايدة تجاه الموردين، قائمة على الأداء)</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الكمية</w:t>
            </w:r>
          </w:p>
        </w:tc>
        <w:tc>
          <w:tcPr>
            <w:tcW w:type="dxa" w:w="81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الوحدة</w:t>
            </w:r>
          </w:p>
        </w:tc>
        <w:tc>
          <w:tcPr>
            <w:tcW w:type="dxa" w:w="203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ملاحظات</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الفئة (Category)</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محوّل top-of-rack عالي الكثافة وعالي التوافر لمراكز البيانات</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Switch</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المنافذ (Ports)</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48 × منفذ SFP28 بسرعة 10G/25G + 6 × منافذ uplink عالية السرعة QSFP28 بسرعة 40G/100G، مع قابلية التشغيل البيني 10G/25G/100G</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54</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Port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عدد المنافذ لكل محوّل؛ الإجمالي عبر محوّلين</w:t>
            </w: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الـ Transceivers والكابلات</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16 × موصّل SFP28 SR ضوئي بسرعة 25G + 2 × كابل direct-attach بسرعة 100G QSFP28، لتوصيل الخوادم بنسيج المحوّل بسرعة 25G/100G</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36</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Unit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r>
        <w:trPr>
          <w:cantSplit/>
        </w:trPr>
        <w:tc>
          <w:tcPr>
            <w:tcW w:type="dxa" w:w="16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الأداء والميزات والضمان</w:t>
            </w:r>
          </w:p>
        </w:tc>
        <w:tc>
          <w:tcPr>
            <w:tcW w:type="dxa" w:w="446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سعة تحويل ≥ 3.6 Tbps؛ يدعم VXLAN وM-LAG وPFC؛ مصادر طاقة احتياطية؛ دعم مؤسسي 24/7 لمدة 3 سنوات</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w:t>
            </w:r>
          </w:p>
        </w:tc>
        <w:tc>
          <w:tcPr>
            <w:tcW w:type="dxa" w:w="81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Set</w:t>
            </w:r>
          </w:p>
        </w:tc>
        <w:tc>
          <w:tcPr>
            <w:tcW w:type="dxa" w:w="203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p>
        </w:tc>
      </w:tr>
    </w:tbl>
    <w:p>
      <w:pPr>
        <w:spacing w:after="120"/>
      </w:pPr>
    </w:p>
    <w:p>
      <w:pPr>
        <w:bidi/>
        <w:spacing w:after="100" w:before="0" w:line="300"/>
        <w:jc w:val="start"/>
      </w:pPr>
      <w:r>
        <w:rPr>
          <w:rFonts w:ascii="Arial" w:cs="Arial" w:eastAsia="Arial" w:hAnsi="Arial"/>
          <w:b/>
          <w:bCs/>
          <w:sz w:val="22"/>
          <w:szCs w:val="22"/>
          <w:rtl/>
        </w:rPr>
        <w:t xml:space="preserve">ملاحظة:</w:t>
      </w:r>
      <w:r>
        <w:rPr>
          <w:rFonts w:ascii="Arial" w:cs="Arial" w:eastAsia="Arial" w:hAnsi="Arial"/>
          <w:sz w:val="22"/>
          <w:szCs w:val="22"/>
          <w:rtl/>
        </w:rPr>
        <w:t xml:space="preserve"> تعكس الكميات أعلاه النطاق المتوقع حاليًا. وتظل الكميات النهائية والتهيئة الدقيقة وجدول الكميات المفصّل الكامل خاضعة للتقييم الفني والتصميم من مقدّم العرض بموجب الملحق I، ولبوابة مراجعة التصميم (Design Review Gate) الموضحة فيه.</w:t>
      </w:r>
    </w:p>
    <w:p>
      <w:pPr>
        <w:pStyle w:val="Heading1"/>
        <w:pageBreakBefore/>
        <w:pBdr>
          <w:bottom w:val="single" w:color="1F3864" w:sz="8" w:space="4"/>
        </w:pBdr>
        <w:bidi/>
        <w:spacing w:after="200" w:before="0"/>
        <w:jc w:val="start"/>
      </w:pPr>
      <w:r>
        <w:rPr>
          <w:rFonts w:ascii="Arial" w:cs="Arial" w:eastAsia="Arial" w:hAnsi="Arial"/>
          <w:b/>
          <w:bCs/>
          <w:color w:val="1F3864"/>
          <w:sz w:val="32"/>
          <w:szCs w:val="32"/>
          <w:rtl/>
        </w:rPr>
        <w:t xml:space="preserve">مختصر الـ RFP (Executive Summary)</w:t>
      </w:r>
    </w:p>
    <w:p>
      <w:pPr>
        <w:pStyle w:val="Heading2"/>
        <w:keepNext/>
        <w:bidi/>
        <w:spacing w:after="120" w:before="240"/>
        <w:jc w:val="start"/>
      </w:pPr>
      <w:r>
        <w:rPr>
          <w:rFonts w:ascii="Arial" w:cs="Arial" w:eastAsia="Arial" w:hAnsi="Arial"/>
          <w:b/>
          <w:bCs/>
          <w:color w:val="2E5597"/>
          <w:sz w:val="26"/>
          <w:szCs w:val="26"/>
          <w:rtl/>
        </w:rPr>
        <w:t xml:space="preserve">1. نظرة عامة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البند</w:t>
            </w:r>
          </w:p>
        </w:tc>
        <w:tc>
          <w:tcPr>
            <w:tcW w:type="dxa" w:w="7310"/>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الخلاصة</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الجهة المصدِرة</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Creative Associates International, Inc. (بتمويل USAID، عقد NEA رقم SNEAAC23CA0008)</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المستفيد</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وزارة الإدارة المحلية والبيئة (MOLAE) – دمشق، سوريا</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رقم المناقصة</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RFP-FURAT-III-009-2026</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الهدف</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تقييم وتصميم وتوريد وتركيب وتشغيل مركز بيانات (Data Center) في موقع استضافة مشتركة (Co-hosting) لخدمة 5 مراكز بيانات محلية، ورقمنة أول دفعة أرشيف (5 ملايين عقد)، بدعم حتى 1,000 مستخدم متزامن</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نوع الترسية</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Firm Fixed Price (FFP) Purchase Order – على أساس Best Value</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السقف المالي</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900,000 دولار كحد أقصى صارم</w:t>
            </w:r>
            <w:r>
              <w:rPr>
                <w:rFonts w:ascii="Arial" w:cs="Arial" w:eastAsia="Arial" w:hAnsi="Arial"/>
                <w:b w:val="false"/>
                <w:bCs w:val="false"/>
                <w:sz w:val="19"/>
                <w:szCs w:val="19"/>
                <w:rtl/>
              </w:rPr>
              <w:t xml:space="preserve"> – أي عرض يتجاوزه يُرفض ولا يُتفاوض عليه</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مدة التنفيذ</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 أشهر من تاريخ تنفيذ العقد</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العملة والأسعار</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USD، شاملة الضرائب والرسوم الجمركية (gross of tax and customs duties)</w:t>
            </w:r>
          </w:p>
        </w:tc>
      </w:tr>
      <w:tr>
        <w:trPr>
          <w:cantSplit/>
        </w:trPr>
        <w:tc>
          <w:tcPr>
            <w:tcW w:type="dxa" w:w="2436"/>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سريان العرض</w:t>
            </w:r>
          </w:p>
        </w:tc>
        <w:tc>
          <w:tcPr>
            <w:tcW w:type="dxa" w:w="7310"/>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30 يومًا على الأقل بعد الإغلاق</w:t>
            </w:r>
          </w:p>
        </w:tc>
      </w:tr>
    </w:tbl>
    <w:p>
      <w:pPr>
        <w:pStyle w:val="Heading2"/>
        <w:keepNext/>
        <w:bidi/>
        <w:spacing w:after="120" w:before="240"/>
        <w:jc w:val="start"/>
      </w:pPr>
      <w:r>
        <w:rPr>
          <w:rFonts w:ascii="Arial" w:cs="Arial" w:eastAsia="Arial" w:hAnsi="Arial"/>
          <w:b/>
          <w:bCs/>
          <w:color w:val="2E5597"/>
          <w:sz w:val="26"/>
          <w:szCs w:val="26"/>
          <w:rtl/>
        </w:rPr>
        <w:t xml:space="preserve">2. المواعيد الرئيسية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cantSplit/>
          <w:tblHeader/>
        </w:trPr>
        <w:tc>
          <w:tcPr>
            <w:tcW w:type="dxa" w:w="389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الحدث</w:t>
            </w:r>
          </w:p>
        </w:tc>
        <w:tc>
          <w:tcPr>
            <w:tcW w:type="dxa" w:w="5848"/>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التاريخ</w:t>
            </w:r>
          </w:p>
        </w:tc>
      </w:tr>
      <w:tr>
        <w:trPr>
          <w:cantSplit/>
        </w:trPr>
        <w:tc>
          <w:tcPr>
            <w:tcW w:type="dxa" w:w="38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إصدار الـ RFP</w:t>
            </w:r>
          </w:p>
        </w:tc>
        <w:tc>
          <w:tcPr>
            <w:tcW w:type="dxa" w:w="58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28 سبتمبر 2026</w:t>
            </w:r>
          </w:p>
        </w:tc>
      </w:tr>
      <w:tr>
        <w:trPr>
          <w:cantSplit/>
        </w:trPr>
        <w:tc>
          <w:tcPr>
            <w:tcW w:type="dxa" w:w="38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إغلاق خطاب الاهتمام (LoI)</w:t>
            </w:r>
          </w:p>
        </w:tc>
        <w:tc>
          <w:tcPr>
            <w:tcW w:type="dxa" w:w="58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06 أكتوبر 2026 – 4:00 مساءً بتوقيت دمشق</w:t>
            </w:r>
          </w:p>
        </w:tc>
      </w:tr>
      <w:tr>
        <w:trPr>
          <w:cantSplit/>
        </w:trPr>
        <w:tc>
          <w:tcPr>
            <w:tcW w:type="dxa" w:w="38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الزيارة الميدانية (إلزامية) وجلسة Q&amp;A</w:t>
            </w:r>
          </w:p>
        </w:tc>
        <w:tc>
          <w:tcPr>
            <w:tcW w:type="dxa" w:w="58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يُبلَّغ بها المؤهلون لاحقًا</w:t>
            </w:r>
          </w:p>
        </w:tc>
      </w:tr>
      <w:tr>
        <w:trPr>
          <w:cantSplit/>
        </w:trPr>
        <w:tc>
          <w:tcPr>
            <w:tcW w:type="dxa" w:w="38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الأسئلة المكتوبة</w:t>
            </w:r>
          </w:p>
        </w:tc>
        <w:tc>
          <w:tcPr>
            <w:tcW w:type="dxa" w:w="58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خلال 3 أيام من جلسة Q&amp;A، على Procurement-syria@furatlogs.com فقط</w:t>
            </w:r>
          </w:p>
        </w:tc>
      </w:tr>
      <w:tr>
        <w:trPr>
          <w:cantSplit/>
        </w:trPr>
        <w:tc>
          <w:tcPr>
            <w:tcW w:type="dxa" w:w="389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إغلاق الـ RFP</w:t>
            </w:r>
          </w:p>
        </w:tc>
        <w:tc>
          <w:tcPr>
            <w:tcW w:type="dxa" w:w="5848"/>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27 أكتوبر 2026 – 4:00 مساءً بتوقيت دمشق</w:t>
            </w:r>
          </w:p>
        </w:tc>
      </w:tr>
    </w:tbl>
    <w:p>
      <w:pPr>
        <w:pStyle w:val="Heading2"/>
        <w:keepNext/>
        <w:bidi/>
        <w:spacing w:after="120" w:before="240"/>
        <w:jc w:val="start"/>
      </w:pPr>
      <w:r>
        <w:rPr>
          <w:rFonts w:ascii="Arial" w:cs="Arial" w:eastAsia="Arial" w:hAnsi="Arial"/>
          <w:b/>
          <w:bCs/>
          <w:color w:val="2E5597"/>
          <w:sz w:val="26"/>
          <w:szCs w:val="26"/>
          <w:rtl/>
        </w:rPr>
        <w:t xml:space="preserve">3. المتطلبات الفنية الدنيا (Attachment VII)</w:t>
      </w:r>
    </w:p>
    <w:p>
      <w:pPr>
        <w:pStyle w:val="ListParagraph"/>
        <w:numPr>
          <w:ilvl w:val="0"/>
          <w:numId w:val="2"/>
        </w:numPr>
        <w:bidi/>
        <w:spacing w:after="60" w:line="290"/>
        <w:jc w:val="start"/>
      </w:pPr>
      <w:r>
        <w:rPr>
          <w:rFonts w:ascii="Arial" w:cs="Arial" w:eastAsia="Arial" w:hAnsi="Arial"/>
          <w:b/>
          <w:bCs/>
          <w:sz w:val="22"/>
          <w:szCs w:val="22"/>
          <w:rtl/>
        </w:rPr>
        <w:t xml:space="preserve">4 × High-Density Enterprise Servers</w:t>
      </w:r>
      <w:r>
        <w:rPr>
          <w:rFonts w:ascii="Arial" w:cs="Arial" w:eastAsia="Arial" w:hAnsi="Arial"/>
          <w:sz w:val="22"/>
          <w:szCs w:val="22"/>
          <w:rtl/>
        </w:rPr>
        <w:t xml:space="preserve"> (4U، 8 معالجات × 64 نواة، 512 GB DDR5 لكل خادم، NVMe، FC 32 Gb).</w:t>
      </w:r>
    </w:p>
    <w:p>
      <w:pPr>
        <w:pStyle w:val="ListParagraph"/>
        <w:numPr>
          <w:ilvl w:val="0"/>
          <w:numId w:val="2"/>
        </w:numPr>
        <w:bidi/>
        <w:spacing w:after="60" w:line="290"/>
        <w:jc w:val="start"/>
      </w:pPr>
      <w:r>
        <w:rPr>
          <w:rFonts w:ascii="Arial" w:cs="Arial" w:eastAsia="Arial" w:hAnsi="Arial"/>
          <w:b/>
          <w:bCs/>
          <w:sz w:val="22"/>
          <w:szCs w:val="22"/>
          <w:rtl/>
        </w:rPr>
        <w:t xml:space="preserve">2 × AI/GPU Servers</w:t>
      </w:r>
      <w:r>
        <w:rPr>
          <w:rFonts w:ascii="Arial" w:cs="Arial" w:eastAsia="Arial" w:hAnsi="Arial"/>
          <w:sz w:val="22"/>
          <w:szCs w:val="22"/>
          <w:rtl/>
        </w:rPr>
        <w:t xml:space="preserve"> (4 بطاقات GPU لكل خادم بذاكرة HBM ≥ 141 GB، 100GbE، مصادر طاقة ≥ 2200 W).</w:t>
      </w:r>
    </w:p>
    <w:p>
      <w:pPr>
        <w:pStyle w:val="ListParagraph"/>
        <w:numPr>
          <w:ilvl w:val="0"/>
          <w:numId w:val="2"/>
        </w:numPr>
        <w:bidi/>
        <w:spacing w:after="60" w:line="290"/>
        <w:jc w:val="start"/>
      </w:pPr>
      <w:r>
        <w:rPr>
          <w:rFonts w:ascii="Arial" w:cs="Arial" w:eastAsia="Arial" w:hAnsi="Arial"/>
          <w:b/>
          <w:bCs/>
          <w:sz w:val="22"/>
          <w:szCs w:val="22"/>
          <w:rtl/>
        </w:rPr>
        <w:t xml:space="preserve">5 × Enterprise Rack Servers</w:t>
      </w:r>
      <w:r>
        <w:rPr>
          <w:rFonts w:ascii="Arial" w:cs="Arial" w:eastAsia="Arial" w:hAnsi="Arial"/>
          <w:sz w:val="22"/>
          <w:szCs w:val="22"/>
          <w:rtl/>
        </w:rPr>
        <w:t xml:space="preserve"> (2U، ≥ 24 نواة، 64 GB DDR5 لكل خادم).</w:t>
      </w:r>
    </w:p>
    <w:p>
      <w:pPr>
        <w:pStyle w:val="ListParagraph"/>
        <w:numPr>
          <w:ilvl w:val="0"/>
          <w:numId w:val="2"/>
        </w:numPr>
        <w:bidi/>
        <w:spacing w:after="60" w:line="290"/>
        <w:jc w:val="start"/>
      </w:pPr>
      <w:r>
        <w:rPr>
          <w:rFonts w:ascii="Arial" w:cs="Arial" w:eastAsia="Arial" w:hAnsi="Arial"/>
          <w:b/>
          <w:bCs/>
          <w:sz w:val="22"/>
          <w:szCs w:val="22"/>
          <w:rtl/>
        </w:rPr>
        <w:t xml:space="preserve">SAN Storage</w:t>
      </w:r>
      <w:r>
        <w:rPr>
          <w:rFonts w:ascii="Arial" w:cs="Arial" w:eastAsia="Arial" w:hAnsi="Arial"/>
          <w:sz w:val="22"/>
          <w:szCs w:val="22"/>
          <w:rtl/>
        </w:rPr>
        <w:t xml:space="preserve"> بنظام all-NVMe: ≥ 450 TB قابلة للاستخدام، أداء &gt; 1.2M IOPS، زمن استجابة &lt; 0.5 ms، 4 متحكمات active-active، نسبة تقليل بيانات مضمونة 4:1.</w:t>
      </w:r>
    </w:p>
    <w:p>
      <w:pPr>
        <w:pStyle w:val="ListParagraph"/>
        <w:numPr>
          <w:ilvl w:val="0"/>
          <w:numId w:val="2"/>
        </w:numPr>
        <w:bidi/>
        <w:spacing w:after="60" w:line="290"/>
        <w:jc w:val="start"/>
      </w:pPr>
      <w:r>
        <w:rPr>
          <w:rFonts w:ascii="Arial" w:cs="Arial" w:eastAsia="Arial" w:hAnsi="Arial"/>
          <w:b/>
          <w:bCs/>
          <w:sz w:val="22"/>
          <w:szCs w:val="22"/>
          <w:rtl/>
        </w:rPr>
        <w:t xml:space="preserve">2 × FC SAN Switches</w:t>
      </w:r>
      <w:r>
        <w:rPr>
          <w:rFonts w:ascii="Arial" w:cs="Arial" w:eastAsia="Arial" w:hAnsi="Arial"/>
          <w:sz w:val="22"/>
          <w:szCs w:val="22"/>
          <w:rtl/>
        </w:rPr>
        <w:t xml:space="preserve"> (32 Gb، Fabric A/B، 16 منفذًا نشطًا لكل منهما).</w:t>
      </w:r>
    </w:p>
    <w:p>
      <w:pPr>
        <w:pStyle w:val="ListParagraph"/>
        <w:numPr>
          <w:ilvl w:val="0"/>
          <w:numId w:val="2"/>
        </w:numPr>
        <w:bidi/>
        <w:spacing w:after="60" w:line="290"/>
        <w:jc w:val="start"/>
      </w:pPr>
      <w:r>
        <w:rPr>
          <w:rFonts w:ascii="Arial" w:cs="Arial" w:eastAsia="Arial" w:hAnsi="Arial"/>
          <w:b/>
          <w:bCs/>
          <w:sz w:val="22"/>
          <w:szCs w:val="22"/>
          <w:rtl/>
        </w:rPr>
        <w:t xml:space="preserve">2 × Data Center Switches</w:t>
      </w:r>
      <w:r>
        <w:rPr>
          <w:rFonts w:ascii="Arial" w:cs="Arial" w:eastAsia="Arial" w:hAnsi="Arial"/>
          <w:sz w:val="22"/>
          <w:szCs w:val="22"/>
          <w:rtl/>
        </w:rPr>
        <w:t xml:space="preserve"> (48×25G + 6×100G، ≥ 3.6 Tbps).</w:t>
      </w:r>
    </w:p>
    <w:p>
      <w:pPr>
        <w:pStyle w:val="ListParagraph"/>
        <w:numPr>
          <w:ilvl w:val="0"/>
          <w:numId w:val="2"/>
        </w:numPr>
        <w:bidi/>
        <w:spacing w:after="60" w:line="290"/>
        <w:jc w:val="start"/>
      </w:pPr>
      <w:r>
        <w:rPr>
          <w:rFonts w:ascii="Arial" w:cs="Arial" w:eastAsia="Arial" w:hAnsi="Arial"/>
          <w:sz w:val="22"/>
          <w:szCs w:val="22"/>
          <w:rtl/>
        </w:rPr>
        <w:t xml:space="preserve">ضمان ودعم 3 سنوات في الموقع 24/7 بزمن استجابة 4 ساعات، مع مخزون قطع غيار محلي، ومعمارية Single-vendor بمكونات أصلية قابلة للتتبع.</w:t>
      </w:r>
    </w:p>
    <w:p>
      <w:pPr>
        <w:pStyle w:val="ListParagraph"/>
        <w:numPr>
          <w:ilvl w:val="0"/>
          <w:numId w:val="2"/>
        </w:numPr>
        <w:bidi/>
        <w:spacing w:after="60" w:line="290"/>
        <w:jc w:val="start"/>
      </w:pPr>
      <w:r>
        <w:rPr>
          <w:rFonts w:ascii="Arial" w:cs="Arial" w:eastAsia="Arial" w:hAnsi="Arial"/>
          <w:sz w:val="22"/>
          <w:szCs w:val="22"/>
          <w:rtl/>
        </w:rPr>
        <w:t xml:space="preserve">المواصفات </w:t>
      </w:r>
      <w:r>
        <w:rPr>
          <w:rFonts w:ascii="Arial" w:cs="Arial" w:eastAsia="Arial" w:hAnsi="Arial"/>
          <w:b/>
          <w:bCs/>
          <w:sz w:val="22"/>
          <w:szCs w:val="22"/>
          <w:rtl/>
        </w:rPr>
        <w:t xml:space="preserve">محايدة تجاه الموردين (vendor-neutral)</w:t>
      </w:r>
      <w:r>
        <w:rPr>
          <w:rFonts w:ascii="Arial" w:cs="Arial" w:eastAsia="Arial" w:hAnsi="Arial"/>
          <w:sz w:val="22"/>
          <w:szCs w:val="22"/>
          <w:rtl/>
        </w:rPr>
        <w:t xml:space="preserve">؛ يجوز اقتراح بدائل مكافئة أو أفضل مع تبريرها في Compliance Matrix.</w:t>
      </w:r>
    </w:p>
    <w:p>
      <w:pPr>
        <w:pStyle w:val="Heading2"/>
        <w:keepNext/>
        <w:bidi/>
        <w:spacing w:after="120" w:before="240"/>
        <w:jc w:val="start"/>
      </w:pPr>
      <w:r>
        <w:rPr>
          <w:rFonts w:ascii="Arial" w:cs="Arial" w:eastAsia="Arial" w:hAnsi="Arial"/>
          <w:b/>
          <w:bCs/>
          <w:color w:val="2E5597"/>
          <w:sz w:val="26"/>
          <w:szCs w:val="26"/>
          <w:rtl/>
        </w:rPr>
        <w:t xml:space="preserve">4. مراحل العمل</w:t>
      </w:r>
    </w:p>
    <w:p>
      <w:pPr>
        <w:pStyle w:val="ListParagraph"/>
        <w:numPr>
          <w:ilvl w:val="0"/>
          <w:numId w:val="2"/>
        </w:numPr>
        <w:bidi/>
        <w:spacing w:after="60" w:line="290"/>
        <w:jc w:val="start"/>
      </w:pPr>
      <w:r>
        <w:rPr>
          <w:rFonts w:ascii="Arial" w:cs="Arial" w:eastAsia="Arial" w:hAnsi="Arial"/>
          <w:b/>
          <w:bCs/>
          <w:sz w:val="22"/>
          <w:szCs w:val="22"/>
          <w:rtl/>
        </w:rPr>
        <w:t xml:space="preserve">Stage 1:</w:t>
      </w:r>
      <w:r>
        <w:rPr>
          <w:rFonts w:ascii="Arial" w:cs="Arial" w:eastAsia="Arial" w:hAnsi="Arial"/>
          <w:sz w:val="22"/>
          <w:szCs w:val="22"/>
          <w:rtl/>
        </w:rPr>
        <w:t xml:space="preserve"> تقييم الموقع والتصميم والـ BoQ والميزانية – لا التزام بالشراء قبل توقيع الاتفاقية.</w:t>
      </w:r>
    </w:p>
    <w:p>
      <w:pPr>
        <w:pStyle w:val="ListParagraph"/>
        <w:numPr>
          <w:ilvl w:val="0"/>
          <w:numId w:val="2"/>
        </w:numPr>
        <w:bidi/>
        <w:spacing w:after="60" w:line="290"/>
        <w:jc w:val="start"/>
      </w:pPr>
      <w:r>
        <w:rPr>
          <w:rFonts w:ascii="Arial" w:cs="Arial" w:eastAsia="Arial" w:hAnsi="Arial"/>
          <w:b/>
          <w:bCs/>
          <w:sz w:val="22"/>
          <w:szCs w:val="22"/>
          <w:rtl/>
        </w:rPr>
        <w:t xml:space="preserve">Stage 2:</w:t>
      </w:r>
      <w:r>
        <w:rPr>
          <w:rFonts w:ascii="Arial" w:cs="Arial" w:eastAsia="Arial" w:hAnsi="Arial"/>
          <w:sz w:val="22"/>
          <w:szCs w:val="22"/>
          <w:rtl/>
        </w:rPr>
        <w:t xml:space="preserve"> لا طلب ولا شحن ولا تركيب قبل اجتياز </w:t>
      </w:r>
      <w:r>
        <w:rPr>
          <w:rFonts w:ascii="Arial" w:cs="Arial" w:eastAsia="Arial" w:hAnsi="Arial"/>
          <w:b/>
          <w:bCs/>
          <w:sz w:val="22"/>
          <w:szCs w:val="22"/>
          <w:rtl/>
        </w:rPr>
        <w:t xml:space="preserve">Design Review Gate</w:t>
      </w:r>
      <w:r>
        <w:rPr>
          <w:rFonts w:ascii="Arial" w:cs="Arial" w:eastAsia="Arial" w:hAnsi="Arial"/>
          <w:sz w:val="22"/>
          <w:szCs w:val="22"/>
          <w:rtl/>
        </w:rPr>
        <w:t xml:space="preserve"> ونجاح </w:t>
      </w:r>
      <w:r>
        <w:rPr>
          <w:rFonts w:ascii="Arial" w:cs="Arial" w:eastAsia="Arial" w:hAnsi="Arial"/>
          <w:b/>
          <w:bCs/>
          <w:sz w:val="22"/>
          <w:szCs w:val="22"/>
          <w:rtl/>
        </w:rPr>
        <w:t xml:space="preserve">RAM Vetting</w:t>
      </w:r>
      <w:r>
        <w:rPr>
          <w:rFonts w:ascii="Arial" w:cs="Arial" w:eastAsia="Arial" w:hAnsi="Arial"/>
          <w:sz w:val="22"/>
          <w:szCs w:val="22"/>
          <w:rtl/>
        </w:rPr>
        <w:t xml:space="preserve"> وموافقات التصدير والعقوبات والتراخيص وموافقة الحكومة المضيفة.</w:t>
      </w:r>
    </w:p>
    <w:p>
      <w:pPr>
        <w:pStyle w:val="ListParagraph"/>
        <w:numPr>
          <w:ilvl w:val="0"/>
          <w:numId w:val="2"/>
        </w:numPr>
        <w:bidi/>
        <w:spacing w:after="60" w:line="290"/>
        <w:jc w:val="start"/>
      </w:pPr>
      <w:r>
        <w:rPr>
          <w:rFonts w:ascii="Arial" w:cs="Arial" w:eastAsia="Arial" w:hAnsi="Arial"/>
          <w:sz w:val="22"/>
          <w:szCs w:val="22"/>
          <w:rtl/>
        </w:rPr>
        <w:t xml:space="preserve">بعد ذلك: التوريد والتركيب والتهيئة والاختبار (SAT) والتحقق بندًا ببند من الـ BoQ، ثم التدريب والتسليم وخطة O&amp;M مكلَّفة.</w:t>
      </w:r>
    </w:p>
    <w:p>
      <w:pPr>
        <w:pStyle w:val="ListParagraph"/>
        <w:numPr>
          <w:ilvl w:val="0"/>
          <w:numId w:val="2"/>
        </w:numPr>
        <w:bidi/>
        <w:spacing w:after="60" w:line="290"/>
        <w:jc w:val="start"/>
      </w:pPr>
      <w:r>
        <w:rPr>
          <w:rFonts w:ascii="Arial" w:cs="Arial" w:eastAsia="Arial" w:hAnsi="Arial"/>
          <w:sz w:val="22"/>
          <w:szCs w:val="22"/>
          <w:rtl/>
        </w:rPr>
        <w:t xml:space="preserve">سيادة البيانات (Data Sovereignty): لا يجوز استضافة بيانات الوزارة أو معالجتها أو نسخها خارج بيئتها المعتمدة دون موافقة خطية. والتصميم يجب أن يتناسب مع قدرة الوزارة على التشغيل بعد التسليم، مع قابلية توسع للمرحلة 2 دون استبدال المرحلة 1.</w:t>
      </w:r>
    </w:p>
    <w:p>
      <w:pPr>
        <w:pStyle w:val="Heading2"/>
        <w:keepNext/>
        <w:bidi/>
        <w:spacing w:after="120" w:before="240"/>
        <w:jc w:val="start"/>
      </w:pPr>
      <w:r>
        <w:rPr>
          <w:rFonts w:ascii="Arial" w:cs="Arial" w:eastAsia="Arial" w:hAnsi="Arial"/>
          <w:b/>
          <w:bCs/>
          <w:color w:val="2E5597"/>
          <w:sz w:val="26"/>
          <w:szCs w:val="26"/>
          <w:rtl/>
        </w:rPr>
        <w:t xml:space="preserve">5. شروط الأهلية والاستبعاد</w:t>
      </w:r>
    </w:p>
    <w:p>
      <w:pPr>
        <w:pStyle w:val="ListParagraph"/>
        <w:numPr>
          <w:ilvl w:val="0"/>
          <w:numId w:val="2"/>
        </w:numPr>
        <w:bidi/>
        <w:spacing w:after="60" w:line="290"/>
        <w:jc w:val="start"/>
      </w:pPr>
      <w:r>
        <w:rPr>
          <w:rFonts w:ascii="Arial" w:cs="Arial" w:eastAsia="Arial" w:hAnsi="Arial"/>
          <w:sz w:val="22"/>
          <w:szCs w:val="22"/>
          <w:rtl/>
        </w:rPr>
        <w:t xml:space="preserve">الزيارة الميدانية إلزامية؛ من لم يحضرها يُرفض عرضه.</w:t>
      </w:r>
    </w:p>
    <w:p>
      <w:pPr>
        <w:pStyle w:val="ListParagraph"/>
        <w:numPr>
          <w:ilvl w:val="0"/>
          <w:numId w:val="2"/>
        </w:numPr>
        <w:bidi/>
        <w:spacing w:after="60" w:line="290"/>
        <w:jc w:val="start"/>
      </w:pPr>
      <w:r>
        <w:rPr>
          <w:rFonts w:ascii="Arial" w:cs="Arial" w:eastAsia="Arial" w:hAnsi="Arial"/>
          <w:sz w:val="22"/>
          <w:szCs w:val="22"/>
          <w:rtl/>
        </w:rPr>
        <w:t xml:space="preserve">رخصة عمل سارية في سوريا (بها رقم وختم وتاريخ إصدار وانتهاء).</w:t>
      </w:r>
    </w:p>
    <w:p>
      <w:pPr>
        <w:pStyle w:val="ListParagraph"/>
        <w:numPr>
          <w:ilvl w:val="0"/>
          <w:numId w:val="2"/>
        </w:numPr>
        <w:bidi/>
        <w:spacing w:after="60" w:line="290"/>
        <w:jc w:val="start"/>
      </w:pPr>
      <w:r>
        <w:rPr>
          <w:rFonts w:ascii="Arial" w:cs="Arial" w:eastAsia="Arial" w:hAnsi="Arial"/>
          <w:sz w:val="22"/>
          <w:szCs w:val="22"/>
          <w:rtl/>
        </w:rPr>
        <w:t xml:space="preserve">الرمز الجغرافي المصرّح به للمصدر/المنشأ/الجنسية: </w:t>
      </w:r>
      <w:r>
        <w:rPr>
          <w:rFonts w:ascii="Arial" w:cs="Arial" w:eastAsia="Arial" w:hAnsi="Arial"/>
          <w:b/>
          <w:bCs/>
          <w:sz w:val="22"/>
          <w:szCs w:val="22"/>
          <w:rtl/>
        </w:rPr>
        <w:t xml:space="preserve">937</w:t>
      </w:r>
      <w:r>
        <w:rPr>
          <w:rFonts w:ascii="Arial" w:cs="Arial" w:eastAsia="Arial" w:hAnsi="Arial"/>
          <w:sz w:val="22"/>
          <w:szCs w:val="22"/>
          <w:rtl/>
        </w:rPr>
        <w:t xml:space="preserve"> (22 CFR 228).</w:t>
      </w:r>
    </w:p>
    <w:p>
      <w:pPr>
        <w:pStyle w:val="ListParagraph"/>
        <w:numPr>
          <w:ilvl w:val="0"/>
          <w:numId w:val="2"/>
        </w:numPr>
        <w:bidi/>
        <w:spacing w:after="60" w:line="290"/>
        <w:jc w:val="start"/>
      </w:pPr>
      <w:r>
        <w:rPr>
          <w:rFonts w:ascii="Arial" w:cs="Arial" w:eastAsia="Arial" w:hAnsi="Arial"/>
          <w:sz w:val="22"/>
          <w:szCs w:val="22"/>
          <w:rtl/>
        </w:rPr>
        <w:t xml:space="preserve">عرضان منفصلان بريديًا (فني ومالي)، ولا أسعار في العرض الفني، وإلا يُستبعد العرض. اللغة الإنكليزية إلزامية.</w:t>
      </w:r>
    </w:p>
    <w:p>
      <w:pPr>
        <w:pStyle w:val="ListParagraph"/>
        <w:numPr>
          <w:ilvl w:val="0"/>
          <w:numId w:val="2"/>
        </w:numPr>
        <w:bidi/>
        <w:spacing w:after="60" w:line="290"/>
        <w:jc w:val="start"/>
      </w:pPr>
      <w:r>
        <w:rPr>
          <w:rFonts w:ascii="Arial" w:cs="Arial" w:eastAsia="Arial" w:hAnsi="Arial"/>
          <w:sz w:val="22"/>
          <w:szCs w:val="22"/>
          <w:rtl/>
        </w:rPr>
        <w:t xml:space="preserve">الحظر المرتبط بمعدات الاتصالات المشمولة (Huawei وZTE وHytera وHikvision وDahua) وفق FAR 52.204-24/25/26.</w:t>
      </w:r>
    </w:p>
    <w:p>
      <w:pPr>
        <w:pStyle w:val="ListParagraph"/>
        <w:numPr>
          <w:ilvl w:val="0"/>
          <w:numId w:val="2"/>
        </w:numPr>
        <w:bidi/>
        <w:spacing w:after="60" w:line="290"/>
        <w:jc w:val="start"/>
      </w:pPr>
      <w:r>
        <w:rPr>
          <w:rFonts w:ascii="Arial" w:cs="Arial" w:eastAsia="Arial" w:hAnsi="Arial"/>
          <w:sz w:val="22"/>
          <w:szCs w:val="22"/>
          <w:rtl/>
        </w:rPr>
        <w:t xml:space="preserve">الحد الأدنى للكوادر: خبيران على الأقل (ICT Infrastructure Engineer / Data Center Expert) بخبرة 5 سنوات فأكثر، ومهمة مماثلة واحدة على الأقل خلال 3 سنوات مع مراجع.</w:t>
      </w:r>
    </w:p>
    <w:p>
      <w:pPr>
        <w:pStyle w:val="Heading2"/>
        <w:keepNext/>
        <w:bidi/>
        <w:spacing w:after="120" w:before="240"/>
        <w:jc w:val="start"/>
      </w:pPr>
      <w:r>
        <w:rPr>
          <w:rFonts w:ascii="Arial" w:cs="Arial" w:eastAsia="Arial" w:hAnsi="Arial"/>
          <w:b/>
          <w:bCs/>
          <w:color w:val="2E5597"/>
          <w:sz w:val="26"/>
          <w:szCs w:val="26"/>
          <w:rtl/>
        </w:rPr>
        <w:t xml:space="preserve">6. آلية التقييم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2"/>
        <w:gridCol w:w="2924"/>
      </w:tblGrid>
      <w:tr>
        <w:trPr>
          <w:cantSplit/>
          <w:tblHeader/>
        </w:trPr>
        <w:tc>
          <w:tcPr>
            <w:tcW w:type="dxa" w:w="6822"/>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المعيار الفني</w:t>
            </w:r>
          </w:p>
        </w:tc>
        <w:tc>
          <w:tcPr>
            <w:tcW w:type="dxa" w:w="2924"/>
            <w:tcBorders>
              <w:top w:val="single" w:color="9AA5B8" w:sz="4"/>
              <w:left w:val="single" w:color="9AA5B8" w:sz="4"/>
              <w:bottom w:val="single" w:color="9AA5B8" w:sz="4"/>
              <w:right w:val="single" w:color="9AA5B8" w:sz="4"/>
            </w:tcBorders>
            <w:shd w:fill="1F3864" w:color="auto" w:val="clear"/>
            <w:tcMar>
              <w:top w:type="dxa" w:w="60"/>
              <w:left w:type="dxa" w:w="90"/>
              <w:bottom w:type="dxa" w:w="60"/>
              <w:right w:type="dxa" w:w="90"/>
            </w:tcMar>
          </w:tcPr>
          <w:p>
            <w:pPr>
              <w:bidi/>
              <w:spacing w:after="20" w:line="264"/>
              <w:jc w:val="start"/>
            </w:pPr>
            <w:r>
              <w:rPr>
                <w:rFonts w:ascii="Arial" w:cs="Arial" w:eastAsia="Arial" w:hAnsi="Arial"/>
                <w:b/>
                <w:bCs/>
                <w:color w:val="FFFFFF"/>
                <w:sz w:val="19"/>
                <w:szCs w:val="19"/>
                <w:rtl/>
              </w:rPr>
              <w:t xml:space="preserve">الدرجة</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 بيان المشكلة والمعرفة المحلية</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 القدرة على التنفيذ</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3. المنهجية</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4. الكوادر والدعم داخل البلد</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20</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5. الأداء السابق</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15</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6. تفضيل المصدر والمصنّع</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val="false"/>
                <w:bCs w:val="false"/>
                <w:sz w:val="19"/>
                <w:szCs w:val="19"/>
                <w:rtl/>
              </w:rPr>
              <w:t xml:space="preserve">20</w:t>
            </w:r>
          </w:p>
        </w:tc>
      </w:tr>
      <w:tr>
        <w:trPr>
          <w:cantSplit/>
        </w:trPr>
        <w:tc>
          <w:tcPr>
            <w:tcW w:type="dxa" w:w="6822"/>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الإجمالي</w:t>
            </w:r>
          </w:p>
        </w:tc>
        <w:tc>
          <w:tcPr>
            <w:tcW w:type="dxa" w:w="2924"/>
            <w:tcBorders>
              <w:top w:val="single" w:color="9AA5B8" w:sz="4"/>
              <w:left w:val="single" w:color="9AA5B8" w:sz="4"/>
              <w:bottom w:val="single" w:color="9AA5B8" w:sz="4"/>
              <w:right w:val="single" w:color="9AA5B8" w:sz="4"/>
            </w:tcBorders>
            <w:tcMar>
              <w:top w:type="dxa" w:w="60"/>
              <w:left w:type="dxa" w:w="90"/>
              <w:bottom w:type="dxa" w:w="60"/>
              <w:right w:type="dxa" w:w="90"/>
            </w:tcMar>
          </w:tcPr>
          <w:p>
            <w:pPr>
              <w:bidi/>
              <w:spacing w:after="20" w:line="264"/>
              <w:jc w:val="start"/>
            </w:pPr>
            <w:r>
              <w:rPr>
                <w:rFonts w:ascii="Arial" w:cs="Arial" w:eastAsia="Arial" w:hAnsi="Arial"/>
                <w:b/>
                <w:bCs/>
                <w:sz w:val="19"/>
                <w:szCs w:val="19"/>
                <w:rtl/>
              </w:rPr>
              <w:t xml:space="preserve">100</w:t>
            </w:r>
          </w:p>
        </w:tc>
      </w:tr>
    </w:tbl>
    <w:p>
      <w:pPr>
        <w:spacing w:after="120"/>
      </w:pPr>
    </w:p>
    <w:p>
      <w:pPr>
        <w:pStyle w:val="ListParagraph"/>
        <w:numPr>
          <w:ilvl w:val="0"/>
          <w:numId w:val="2"/>
        </w:numPr>
        <w:bidi/>
        <w:spacing w:after="60" w:line="290"/>
        <w:jc w:val="start"/>
      </w:pPr>
      <w:r>
        <w:rPr>
          <w:rFonts w:ascii="Arial" w:cs="Arial" w:eastAsia="Arial" w:hAnsi="Arial"/>
          <w:sz w:val="22"/>
          <w:szCs w:val="22"/>
          <w:rtl/>
        </w:rPr>
        <w:t xml:space="preserve">التقييم الفني أولًا ومستقلًا عن السعر؛ الحد الأدنى للتأهل </w:t>
      </w:r>
      <w:r>
        <w:rPr>
          <w:rFonts w:ascii="Arial" w:cs="Arial" w:eastAsia="Arial" w:hAnsi="Arial"/>
          <w:b/>
          <w:bCs/>
          <w:sz w:val="22"/>
          <w:szCs w:val="22"/>
          <w:rtl/>
        </w:rPr>
        <w:t xml:space="preserve">70/100</w:t>
      </w:r>
      <w:r>
        <w:rPr>
          <w:rFonts w:ascii="Arial" w:cs="Arial" w:eastAsia="Arial" w:hAnsi="Arial"/>
          <w:sz w:val="22"/>
          <w:szCs w:val="22"/>
          <w:rtl/>
        </w:rPr>
        <w:t xml:space="preserve">.</w:t>
      </w:r>
    </w:p>
    <w:p>
      <w:pPr>
        <w:pStyle w:val="ListParagraph"/>
        <w:numPr>
          <w:ilvl w:val="0"/>
          <w:numId w:val="2"/>
        </w:numPr>
        <w:bidi/>
        <w:spacing w:after="60" w:line="290"/>
        <w:jc w:val="start"/>
      </w:pPr>
      <w:r>
        <w:rPr>
          <w:rFonts w:ascii="Arial" w:cs="Arial" w:eastAsia="Arial" w:hAnsi="Arial"/>
          <w:sz w:val="22"/>
          <w:szCs w:val="22"/>
          <w:rtl/>
        </w:rPr>
        <w:t xml:space="preserve">لا يُفتح العرض المالي إلا لمن تأهل فنيًا، ويبدأ التقييم المالي عند تأهل </w:t>
      </w:r>
      <w:r>
        <w:rPr>
          <w:rFonts w:ascii="Arial" w:cs="Arial" w:eastAsia="Arial" w:hAnsi="Arial"/>
          <w:b/>
          <w:bCs/>
          <w:sz w:val="22"/>
          <w:szCs w:val="22"/>
          <w:rtl/>
        </w:rPr>
        <w:t xml:space="preserve">عرضين على الأقل</w:t>
      </w:r>
      <w:r>
        <w:rPr>
          <w:rFonts w:ascii="Arial" w:cs="Arial" w:eastAsia="Arial" w:hAnsi="Arial"/>
          <w:sz w:val="22"/>
          <w:szCs w:val="22"/>
          <w:rtl/>
        </w:rPr>
        <w:t xml:space="preserve">؛ وإلا تُمدَّد المناقصة أسبوعين.</w:t>
      </w:r>
    </w:p>
    <w:p>
      <w:pPr>
        <w:pStyle w:val="ListParagraph"/>
        <w:numPr>
          <w:ilvl w:val="0"/>
          <w:numId w:val="2"/>
        </w:numPr>
        <w:bidi/>
        <w:spacing w:after="60" w:line="290"/>
        <w:jc w:val="start"/>
      </w:pPr>
      <w:r>
        <w:rPr>
          <w:rFonts w:ascii="Arial" w:cs="Arial" w:eastAsia="Arial" w:hAnsi="Arial"/>
          <w:sz w:val="22"/>
          <w:szCs w:val="22"/>
          <w:rtl/>
        </w:rPr>
        <w:t xml:space="preserve">السعر لا يُحوَّل إلى نقاط؛ القرار Best Value عبر تحليل مفاضلة موثّق (Trade-off) بين الجدارة الفنية والتكلفة المعقولة.</w:t>
      </w:r>
    </w:p>
    <w:p>
      <w:pPr>
        <w:pStyle w:val="ListParagraph"/>
        <w:numPr>
          <w:ilvl w:val="0"/>
          <w:numId w:val="2"/>
        </w:numPr>
        <w:bidi/>
        <w:spacing w:after="60" w:line="290"/>
        <w:jc w:val="start"/>
      </w:pPr>
      <w:r>
        <w:rPr>
          <w:rFonts w:ascii="Arial" w:cs="Arial" w:eastAsia="Arial" w:hAnsi="Arial"/>
          <w:sz w:val="22"/>
          <w:szCs w:val="22"/>
          <w:rtl/>
        </w:rPr>
        <w:t xml:space="preserve">البنود الاختيارية أو الخاصة بالمرحلة 2 تُسعَّر منفصلة وتُستبعد من الإجمالي المختبر مقابل السقف.</w:t>
      </w:r>
    </w:p>
    <w:p>
      <w:pPr>
        <w:pStyle w:val="Heading2"/>
        <w:keepNext/>
        <w:bidi/>
        <w:spacing w:after="120" w:before="240"/>
        <w:jc w:val="start"/>
      </w:pPr>
      <w:r>
        <w:rPr>
          <w:rFonts w:ascii="Arial" w:cs="Arial" w:eastAsia="Arial" w:hAnsi="Arial"/>
          <w:b/>
          <w:bCs/>
          <w:color w:val="2E5597"/>
          <w:sz w:val="26"/>
          <w:szCs w:val="26"/>
          <w:rtl/>
        </w:rPr>
        <w:t xml:space="preserve">7. أبرز الشروط التعاقدية (Attachment VI)</w:t>
      </w:r>
    </w:p>
    <w:p>
      <w:pPr>
        <w:pStyle w:val="ListParagraph"/>
        <w:numPr>
          <w:ilvl w:val="0"/>
          <w:numId w:val="2"/>
        </w:numPr>
        <w:bidi/>
        <w:spacing w:after="60" w:line="290"/>
        <w:jc w:val="start"/>
      </w:pPr>
      <w:r>
        <w:rPr>
          <w:rFonts w:ascii="Arial" w:cs="Arial" w:eastAsia="Arial" w:hAnsi="Arial"/>
          <w:sz w:val="22"/>
          <w:szCs w:val="22"/>
          <w:rtl/>
        </w:rPr>
        <w:t xml:space="preserve">الدفع خلال 30 يومًا من قبول العمل واستلام فاتورة مقبولة؛ الفاتورة النهائية خلال 60 يومًا؛ فترة تقادم المطالبات 180 يومًا.</w:t>
      </w:r>
    </w:p>
    <w:p>
      <w:pPr>
        <w:pStyle w:val="ListParagraph"/>
        <w:numPr>
          <w:ilvl w:val="0"/>
          <w:numId w:val="2"/>
        </w:numPr>
        <w:bidi/>
        <w:spacing w:after="60" w:line="290"/>
        <w:jc w:val="start"/>
      </w:pPr>
      <w:r>
        <w:rPr>
          <w:rFonts w:ascii="Arial" w:cs="Arial" w:eastAsia="Arial" w:hAnsi="Arial"/>
          <w:sz w:val="22"/>
          <w:szCs w:val="22"/>
          <w:rtl/>
        </w:rPr>
        <w:t xml:space="preserve">غرامة تأخير (Liquidated Damages): 0.5% من قيمة أمر الشراء المتأخر، باستثناء القوة القاهرة.</w:t>
      </w:r>
    </w:p>
    <w:p>
      <w:pPr>
        <w:pStyle w:val="ListParagraph"/>
        <w:numPr>
          <w:ilvl w:val="0"/>
          <w:numId w:val="2"/>
        </w:numPr>
        <w:bidi/>
        <w:spacing w:after="60" w:line="290"/>
        <w:jc w:val="start"/>
      </w:pPr>
      <w:r>
        <w:rPr>
          <w:rFonts w:ascii="Arial" w:cs="Arial" w:eastAsia="Arial" w:hAnsi="Arial"/>
          <w:sz w:val="22"/>
          <w:szCs w:val="22"/>
          <w:rtl/>
        </w:rPr>
        <w:t xml:space="preserve">الضرائب والرسوم الجمركية على البائع؛ لا عقود من الباطن دون موافقة خطية.</w:t>
      </w:r>
    </w:p>
    <w:p>
      <w:pPr>
        <w:pStyle w:val="ListParagraph"/>
        <w:numPr>
          <w:ilvl w:val="0"/>
          <w:numId w:val="2"/>
        </w:numPr>
        <w:bidi/>
        <w:spacing w:after="60" w:line="290"/>
        <w:jc w:val="start"/>
      </w:pPr>
      <w:r>
        <w:rPr>
          <w:rFonts w:ascii="Arial" w:cs="Arial" w:eastAsia="Arial" w:hAnsi="Arial"/>
          <w:sz w:val="22"/>
          <w:szCs w:val="22"/>
          <w:rtl/>
        </w:rPr>
        <w:t xml:space="preserve">التأمين: مسؤولية صاحب العمل 1M دولار؛ CGL و Auto Liability بحد 2M دولار لكل منهما؛ وقد يُطلب تأمين إضافي.</w:t>
      </w:r>
    </w:p>
    <w:p>
      <w:pPr>
        <w:pStyle w:val="ListParagraph"/>
        <w:numPr>
          <w:ilvl w:val="0"/>
          <w:numId w:val="2"/>
        </w:numPr>
        <w:bidi/>
        <w:spacing w:after="60" w:line="290"/>
        <w:jc w:val="start"/>
      </w:pPr>
      <w:r>
        <w:rPr>
          <w:rFonts w:ascii="Arial" w:cs="Arial" w:eastAsia="Arial" w:hAnsi="Arial"/>
          <w:sz w:val="22"/>
          <w:szCs w:val="22"/>
          <w:rtl/>
        </w:rPr>
        <w:t xml:space="preserve">الضمان: إخطار العيوب خلال سنة من التسليم؛ حق المشتري في الرفض أو الاستبدال أو الخصم.</w:t>
      </w:r>
    </w:p>
    <w:p>
      <w:pPr>
        <w:pStyle w:val="ListParagraph"/>
        <w:numPr>
          <w:ilvl w:val="0"/>
          <w:numId w:val="2"/>
        </w:numPr>
        <w:bidi/>
        <w:spacing w:after="60" w:line="290"/>
        <w:jc w:val="start"/>
      </w:pPr>
      <w:r>
        <w:rPr>
          <w:rFonts w:ascii="Arial" w:cs="Arial" w:eastAsia="Arial" w:hAnsi="Arial"/>
          <w:sz w:val="22"/>
          <w:szCs w:val="22"/>
          <w:rtl/>
        </w:rPr>
        <w:t xml:space="preserve">الإنهاء للتقصير بعد 10 أيام دون معالجة، والإنهاء للملاءمة، وأمر إيقاف العمل حتى 90 يومًا.</w:t>
      </w:r>
    </w:p>
    <w:p>
      <w:pPr>
        <w:pStyle w:val="ListParagraph"/>
        <w:numPr>
          <w:ilvl w:val="0"/>
          <w:numId w:val="2"/>
        </w:numPr>
        <w:bidi/>
        <w:spacing w:after="60" w:line="290"/>
        <w:jc w:val="start"/>
      </w:pPr>
      <w:r>
        <w:rPr>
          <w:rFonts w:ascii="Arial" w:cs="Arial" w:eastAsia="Arial" w:hAnsi="Arial"/>
          <w:sz w:val="22"/>
          <w:szCs w:val="22"/>
          <w:rtl/>
        </w:rPr>
        <w:t xml:space="preserve">القانون الحاكم: قانون مقاطعة كولومبيا (واشنطن)؛ التحكيم غير الملزم وفق AAA؛ الملكية الفكرية للمخرجات تعود إلى المشتري (Works for Hire).</w:t>
      </w:r>
    </w:p>
    <w:p>
      <w:pPr>
        <w:pStyle w:val="ListParagraph"/>
        <w:numPr>
          <w:ilvl w:val="0"/>
          <w:numId w:val="2"/>
        </w:numPr>
        <w:bidi/>
        <w:spacing w:after="60" w:line="290"/>
        <w:jc w:val="start"/>
      </w:pPr>
      <w:r>
        <w:rPr>
          <w:rFonts w:ascii="Arial" w:cs="Arial" w:eastAsia="Arial" w:hAnsi="Arial"/>
          <w:sz w:val="22"/>
          <w:szCs w:val="22"/>
          <w:rtl/>
        </w:rPr>
        <w:t xml:space="preserve">الالتزام بـ FCPA ومدونة السلوك وحماية الطفل ومكافحة الاتجار بالبشر والتحقق من OFAC/SDN.</w:t>
      </w:r>
    </w:p>
    <w:p>
      <w:pPr>
        <w:pStyle w:val="Heading2"/>
        <w:keepNext/>
        <w:bidi/>
        <w:spacing w:after="120" w:before="240"/>
        <w:jc w:val="start"/>
      </w:pPr>
      <w:r>
        <w:rPr>
          <w:rFonts w:ascii="Arial" w:cs="Arial" w:eastAsia="Arial" w:hAnsi="Arial"/>
          <w:b/>
          <w:bCs/>
          <w:color w:val="2E5597"/>
          <w:sz w:val="26"/>
          <w:szCs w:val="26"/>
          <w:rtl/>
        </w:rPr>
        <w:t xml:space="preserve">8. ملاحظات وتناقضات ينبغي توضيحها عبر Q&amp;A</w:t>
      </w:r>
    </w:p>
    <w:p>
      <w:pPr>
        <w:pStyle w:val="ListParagraph"/>
        <w:numPr>
          <w:ilvl w:val="0"/>
          <w:numId w:val="2"/>
        </w:numPr>
        <w:bidi/>
        <w:spacing w:after="60" w:line="290"/>
        <w:jc w:val="start"/>
      </w:pPr>
      <w:r>
        <w:rPr>
          <w:rFonts w:ascii="Arial" w:cs="Arial" w:eastAsia="Arial" w:hAnsi="Arial"/>
          <w:sz w:val="22"/>
          <w:szCs w:val="22"/>
          <w:rtl/>
        </w:rPr>
        <w:t xml:space="preserve">خطاب التغطية (Attachment IV) يذكر رقم مناقصة </w:t>
      </w:r>
      <w:r>
        <w:rPr>
          <w:rFonts w:ascii="Arial" w:cs="Arial" w:eastAsia="Arial" w:hAnsi="Arial"/>
          <w:b/>
          <w:bCs/>
          <w:sz w:val="22"/>
          <w:szCs w:val="22"/>
          <w:rtl/>
        </w:rPr>
        <w:t xml:space="preserve">RFP-FURAT-III-003-2026</w:t>
      </w:r>
      <w:r>
        <w:rPr>
          <w:rFonts w:ascii="Arial" w:cs="Arial" w:eastAsia="Arial" w:hAnsi="Arial"/>
          <w:sz w:val="22"/>
          <w:szCs w:val="22"/>
          <w:rtl/>
        </w:rPr>
        <w:t xml:space="preserve"> وتاريخ </w:t>
      </w:r>
      <w:r>
        <w:rPr>
          <w:rFonts w:ascii="Arial" w:cs="Arial" w:eastAsia="Arial" w:hAnsi="Arial"/>
          <w:b/>
          <w:bCs/>
          <w:sz w:val="22"/>
          <w:szCs w:val="22"/>
          <w:rtl/>
        </w:rPr>
        <w:t xml:space="preserve">08/10/2026</w:t>
      </w:r>
      <w:r>
        <w:rPr>
          <w:rFonts w:ascii="Arial" w:cs="Arial" w:eastAsia="Arial" w:hAnsi="Arial"/>
          <w:sz w:val="22"/>
          <w:szCs w:val="22"/>
          <w:rtl/>
        </w:rPr>
        <w:t xml:space="preserve">، بينما الرقم الصحيح </w:t>
      </w:r>
      <w:r>
        <w:rPr>
          <w:rFonts w:ascii="Arial" w:cs="Arial" w:eastAsia="Arial" w:hAnsi="Arial"/>
          <w:b/>
          <w:bCs/>
          <w:sz w:val="22"/>
          <w:szCs w:val="22"/>
          <w:rtl/>
        </w:rPr>
        <w:t xml:space="preserve">009-2026</w:t>
      </w:r>
      <w:r>
        <w:rPr>
          <w:rFonts w:ascii="Arial" w:cs="Arial" w:eastAsia="Arial" w:hAnsi="Arial"/>
          <w:sz w:val="22"/>
          <w:szCs w:val="22"/>
          <w:rtl/>
        </w:rPr>
        <w:t xml:space="preserve"> وتاريخ الإصدار 28/09/2026.</w:t>
      </w:r>
    </w:p>
    <w:p>
      <w:pPr>
        <w:pStyle w:val="ListParagraph"/>
        <w:numPr>
          <w:ilvl w:val="0"/>
          <w:numId w:val="2"/>
        </w:numPr>
        <w:bidi/>
        <w:spacing w:after="60" w:line="290"/>
        <w:jc w:val="start"/>
      </w:pPr>
      <w:r>
        <w:rPr>
          <w:rFonts w:ascii="Arial" w:cs="Arial" w:eastAsia="Arial" w:hAnsi="Arial"/>
          <w:sz w:val="22"/>
          <w:szCs w:val="22"/>
          <w:rtl/>
        </w:rPr>
        <w:t xml:space="preserve">موعد الـ LoI (6 أكتوبر) أقل من "9 أيام تقويمية" من الإصدار (كان الحد 7 أكتوبر)؛ يُفضل الالتزام بالأقرب.</w:t>
      </w:r>
    </w:p>
    <w:p>
      <w:pPr>
        <w:pStyle w:val="ListParagraph"/>
        <w:numPr>
          <w:ilvl w:val="0"/>
          <w:numId w:val="2"/>
        </w:numPr>
        <w:bidi/>
        <w:spacing w:after="60" w:line="290"/>
        <w:jc w:val="start"/>
      </w:pPr>
      <w:r>
        <w:rPr>
          <w:rFonts w:ascii="Arial" w:cs="Arial" w:eastAsia="Arial" w:hAnsi="Arial"/>
          <w:sz w:val="22"/>
          <w:szCs w:val="22"/>
          <w:rtl/>
        </w:rPr>
        <w:t xml:space="preserve">الخادم الثاني (AI/GPU) يذكر ضمانًا "2 Years" بينما الوصف نفسه ينص على 3 سنوات.</w:t>
      </w:r>
    </w:p>
    <w:p>
      <w:pPr>
        <w:pStyle w:val="ListParagraph"/>
        <w:numPr>
          <w:ilvl w:val="0"/>
          <w:numId w:val="2"/>
        </w:numPr>
        <w:bidi/>
        <w:spacing w:after="60" w:line="290"/>
        <w:jc w:val="start"/>
      </w:pPr>
      <w:r>
        <w:rPr>
          <w:rFonts w:ascii="Arial" w:cs="Arial" w:eastAsia="Arial" w:hAnsi="Arial"/>
          <w:sz w:val="22"/>
          <w:szCs w:val="22"/>
          <w:rtl/>
        </w:rPr>
        <w:t xml:space="preserve">الإحالة في بند Late Delivery إلى "section 29" للإنهاء للتقصير، بينما الإنهاء وارد في البند 26.</w:t>
      </w:r>
    </w:p>
    <w:p>
      <w:pPr>
        <w:pStyle w:val="ListParagraph"/>
        <w:numPr>
          <w:ilvl w:val="0"/>
          <w:numId w:val="2"/>
        </w:numPr>
        <w:bidi/>
        <w:spacing w:after="60" w:line="290"/>
        <w:jc w:val="start"/>
      </w:pPr>
      <w:r>
        <w:rPr>
          <w:rFonts w:ascii="Arial" w:cs="Arial" w:eastAsia="Arial" w:hAnsi="Arial"/>
          <w:sz w:val="22"/>
          <w:szCs w:val="22"/>
          <w:rtl/>
        </w:rPr>
        <w:t xml:space="preserve">الاقتباس FAR 52.203-11 وارد في البند 33 لكنه غير مدرج في جدول البنود.</w:t>
      </w:r>
    </w:p>
    <w:p>
      <w:pPr>
        <w:pStyle w:val="ListParagraph"/>
        <w:numPr>
          <w:ilvl w:val="0"/>
          <w:numId w:val="2"/>
        </w:numPr>
        <w:bidi/>
        <w:spacing w:after="60" w:line="290"/>
        <w:jc w:val="start"/>
      </w:pPr>
      <w:r>
        <w:rPr>
          <w:rFonts w:ascii="Arial" w:cs="Arial" w:eastAsia="Arial" w:hAnsi="Arial"/>
          <w:sz w:val="22"/>
          <w:szCs w:val="22"/>
          <w:rtl/>
        </w:rPr>
        <w:t xml:space="preserve">البنية التحتية ضمن سقف 900,000 دولار: خوادم 8 معالجات وGPU بذاكرة HBM 141 GB وSAN بسعة 450 TB قد تتجاوز السقف؛ يلزم تدقيق الأسعار مبكرًا (EXW/تكاليف الشحن والتراخيص) قبل الالتزام بالعرض.</w:t>
      </w:r>
    </w:p>
    <w:p>
      <w:pPr>
        <w:spacing w:after="120"/>
      </w:pPr>
    </w:p>
    <w:p>
      <w:pPr>
        <w:bidi/>
        <w:spacing w:after="100" w:before="0" w:line="300"/>
        <w:jc w:val="start"/>
      </w:pPr>
      <w:r>
        <w:rPr>
          <w:rFonts w:ascii="Arial" w:cs="Arial" w:eastAsia="Arial" w:hAnsi="Arial"/>
          <w:b/>
          <w:bCs/>
          <w:sz w:val="22"/>
          <w:szCs w:val="22"/>
          <w:rtl/>
        </w:rPr>
        <w:t xml:space="preserve">ملاحظة:</w:t>
      </w:r>
      <w:r>
        <w:rPr>
          <w:rFonts w:ascii="Arial" w:cs="Arial" w:eastAsia="Arial" w:hAnsi="Arial"/>
          <w:sz w:val="22"/>
          <w:szCs w:val="22"/>
          <w:rtl/>
        </w:rPr>
        <w:t xml:space="preserve"> هذا الملخص إرشادي، والنص الإنكليزي الأصلي هو المرجع عند أي اختلاف.</w:t>
      </w:r>
    </w:p>
    <w:sectPr>
      <w:footerReference w:type="default" r:id="rId6"/>
      <w:pgSz w:w="11906" w:h="16838"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RFP-FURAT-III-009-2026 –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lvl w:ilvl="2" w:tentative="1">
      <w:start w:val="1"/>
      <w:numFmt w:val="bullet"/>
      <w:lvlText w:val="▪"/>
      <w:lvlJc w:val="left"/>
      <w:pPr>
        <w:ind w:left="14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rPr>
  </w:style>
  <w:style w:type="paragraph" w:styleId="Heading2">
    <w:name w:val="Heading 2"/>
    <w:basedOn w:val="Normal"/>
    <w:next w:val="Normal"/>
    <w:qFormat/>
    <w:pPr>
      <w:outlineLvl w:val="1"/>
    </w:pPr>
    <w:rPr>
      <w:rFonts w:ascii="Arial" w:cs="Arial" w:eastAsia="Arial" w:hAnsi="Arial"/>
      <w:b/>
      <w:bCs/>
    </w:rPr>
  </w:style>
  <w:style w:type="paragraph" w:styleId="Heading3">
    <w:name w:val="Heading 3"/>
    <w:basedOn w:val="Normal"/>
    <w:next w:val="Normal"/>
    <w:qFormat/>
    <w:pPr>
      <w:outlineLvl w:val="2"/>
    </w:pPr>
    <w:rPr>
      <w:rFonts w:ascii="Arial" w:cs="Arial" w:eastAsia="Arial" w:hAnsi="Arial"/>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RFP-FURAT-III-009-2026 – ترجمة عربية</dc:title>
  <dc:creator>Claude</dc:creator>
  <cp:lastModifiedBy>Un-named</cp:lastModifiedBy>
  <cp:revision>1</cp:revision>
  <dcterms:created xsi:type="dcterms:W3CDTF">2026-09-30T13:01:51.058Z</dcterms:created>
  <dcterms:modified xsi:type="dcterms:W3CDTF">2026-09-30T13:01:51.058Z</dcterms:modified>
</cp:coreProperties>
</file>

<file path=docProps/custom.xml><?xml version="1.0" encoding="utf-8"?>
<Properties xmlns="http://schemas.openxmlformats.org/officeDocument/2006/custom-properties" xmlns:vt="http://schemas.openxmlformats.org/officeDocument/2006/docPropsVTypes"/>
</file>