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592"/>
        <w:gridCol w:w="1960"/>
        <w:gridCol w:w="408"/>
        <w:gridCol w:w="708"/>
        <w:gridCol w:w="1276"/>
        <w:gridCol w:w="850"/>
        <w:gridCol w:w="994"/>
        <w:gridCol w:w="912"/>
        <w:gridCol w:w="1498"/>
        <w:gridCol w:w="588"/>
      </w:tblGrid>
      <w:tr w:rsidR="00CF5C4A" w14:paraId="556B520C" w14:textId="77777777" w:rsidTr="0068556F">
        <w:trPr>
          <w:trHeight w:hRule="exact" w:val="536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4562967D" w14:textId="77777777" w:rsidR="00CF5C4A" w:rsidRDefault="00CF5C4A" w:rsidP="0068556F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Name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7234248E" w14:textId="77777777" w:rsidR="00CF5C4A" w:rsidRDefault="00CF5C4A" w:rsidP="0068556F">
            <w:pPr>
              <w:autoSpaceDE w:val="0"/>
              <w:autoSpaceDN w:val="0"/>
              <w:spacing w:after="0" w:line="238" w:lineRule="exact"/>
              <w:ind w:left="68" w:right="1296"/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Semantic Technologies in Distributed Systems (Semantische Technologien in verteilten Systemen) </w:t>
            </w:r>
          </w:p>
        </w:tc>
      </w:tr>
      <w:tr w:rsidR="00CF5C4A" w14:paraId="41FF8614" w14:textId="77777777" w:rsidTr="0068556F">
        <w:trPr>
          <w:trHeight w:hRule="exact" w:val="540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3776F2" w14:textId="77777777" w:rsidR="00CF5C4A" w:rsidRDefault="00CF5C4A" w:rsidP="0068556F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Responsibility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7DADA90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Prof. Dr. Michael Cebulla </w:t>
            </w:r>
          </w:p>
        </w:tc>
      </w:tr>
      <w:tr w:rsidR="00CF5C4A" w14:paraId="2DB1CDCE" w14:textId="77777777" w:rsidTr="0068556F">
        <w:trPr>
          <w:trHeight w:hRule="exact" w:val="770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C776D9" w14:textId="77777777" w:rsidR="00CF5C4A" w:rsidRDefault="00CF5C4A" w:rsidP="0068556F">
            <w:pPr>
              <w:autoSpaceDE w:val="0"/>
              <w:autoSpaceDN w:val="0"/>
              <w:spacing w:before="8" w:after="0" w:line="222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Qualification Targets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927248B" w14:textId="77777777" w:rsidR="00CF5C4A" w:rsidRDefault="00CF5C4A" w:rsidP="0068556F">
            <w:pPr>
              <w:autoSpaceDE w:val="0"/>
              <w:autoSpaceDN w:val="0"/>
              <w:spacing w:after="0" w:line="234" w:lineRule="exact"/>
              <w:ind w:left="68" w:right="14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Students understand concepts and technologies from the area „intellegent </w:t>
            </w:r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middleware“ and</w:t>
            </w:r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are able to apply them. They </w:t>
            </w:r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are able to</w:t>
            </w:r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analyze and assess existing solutions on the basis of these concepts. </w:t>
            </w:r>
          </w:p>
        </w:tc>
      </w:tr>
      <w:tr w:rsidR="00CF5C4A" w14:paraId="215A0A01" w14:textId="77777777" w:rsidTr="0068556F">
        <w:trPr>
          <w:trHeight w:hRule="exact" w:val="305"/>
        </w:trPr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311222" w14:textId="77777777" w:rsidR="00CF5C4A" w:rsidRDefault="00CF5C4A" w:rsidP="0068556F"/>
        </w:tc>
        <w:tc>
          <w:tcPr>
            <w:tcW w:w="2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9161F8" w14:textId="77777777" w:rsidR="00CF5C4A" w:rsidRDefault="00CF5C4A" w:rsidP="0068556F">
            <w:pPr>
              <w:autoSpaceDE w:val="0"/>
              <w:autoSpaceDN w:val="0"/>
              <w:spacing w:before="26" w:after="0" w:line="248" w:lineRule="exact"/>
              <w:ind w:left="104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Contents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6822BE" w14:textId="77777777" w:rsidR="00CF5C4A" w:rsidRDefault="00CF5C4A" w:rsidP="0068556F">
            <w:pPr>
              <w:autoSpaceDE w:val="0"/>
              <w:autoSpaceDN w:val="0"/>
              <w:spacing w:before="26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Know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409769D" w14:textId="77777777" w:rsidR="00CF5C4A" w:rsidRDefault="00CF5C4A" w:rsidP="0068556F">
            <w:pPr>
              <w:autoSpaceDE w:val="0"/>
              <w:autoSpaceDN w:val="0"/>
              <w:spacing w:before="26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Understand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A184996" w14:textId="77777777" w:rsidR="00CF5C4A" w:rsidRDefault="00CF5C4A" w:rsidP="0068556F">
            <w:pPr>
              <w:autoSpaceDE w:val="0"/>
              <w:autoSpaceDN w:val="0"/>
              <w:spacing w:before="26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Apply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0CBF68D" w14:textId="77777777" w:rsidR="00CF5C4A" w:rsidRDefault="00CF5C4A" w:rsidP="0068556F">
            <w:pPr>
              <w:autoSpaceDE w:val="0"/>
              <w:autoSpaceDN w:val="0"/>
              <w:spacing w:before="26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Analyze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BE711D" w14:textId="77777777" w:rsidR="00CF5C4A" w:rsidRDefault="00CF5C4A" w:rsidP="0068556F">
            <w:pPr>
              <w:autoSpaceDE w:val="0"/>
              <w:autoSpaceDN w:val="0"/>
              <w:spacing w:before="26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Assess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40642F9" w14:textId="77777777" w:rsidR="00CF5C4A" w:rsidRDefault="00CF5C4A" w:rsidP="0068556F">
            <w:pPr>
              <w:autoSpaceDE w:val="0"/>
              <w:autoSpaceDN w:val="0"/>
              <w:spacing w:before="26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Synthesize </w:t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F441156" w14:textId="77777777" w:rsidR="00CF5C4A" w:rsidRDefault="00CF5C4A" w:rsidP="0068556F"/>
        </w:tc>
      </w:tr>
      <w:tr w:rsidR="00CF5C4A" w14:paraId="3D90E5B2" w14:textId="77777777" w:rsidTr="0068556F">
        <w:trPr>
          <w:trHeight w:hRule="exact" w:val="298"/>
        </w:trPr>
        <w:tc>
          <w:tcPr>
            <w:tcW w:w="9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8249" w14:textId="77777777" w:rsidR="00CF5C4A" w:rsidRDefault="00CF5C4A" w:rsidP="0068556F"/>
        </w:tc>
        <w:tc>
          <w:tcPr>
            <w:tcW w:w="2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18EDA7" w14:textId="77777777" w:rsidR="00CF5C4A" w:rsidRDefault="00CF5C4A" w:rsidP="0068556F">
            <w:pPr>
              <w:autoSpaceDE w:val="0"/>
              <w:autoSpaceDN w:val="0"/>
              <w:spacing w:before="14" w:after="0" w:line="248" w:lineRule="exact"/>
              <w:ind w:left="104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Ontologies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621648" w14:textId="77777777" w:rsidR="00CF5C4A" w:rsidRDefault="00CF5C4A" w:rsidP="0068556F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7FD9050" w14:textId="77777777" w:rsidR="00CF5C4A" w:rsidRDefault="00CF5C4A" w:rsidP="0068556F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59623D5" w14:textId="77777777" w:rsidR="00CF5C4A" w:rsidRDefault="00CF5C4A" w:rsidP="0068556F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BE962E4" w14:textId="77777777" w:rsidR="00CF5C4A" w:rsidRDefault="00CF5C4A" w:rsidP="0068556F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83ADBB" w14:textId="77777777" w:rsidR="00CF5C4A" w:rsidRDefault="00CF5C4A" w:rsidP="0068556F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DAC9DCD" w14:textId="77777777" w:rsidR="00CF5C4A" w:rsidRDefault="00CF5C4A" w:rsidP="0068556F"/>
        </w:tc>
        <w:tc>
          <w:tcPr>
            <w:tcW w:w="981" w:type="dxa"/>
            <w:vMerge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22E8429" w14:textId="77777777" w:rsidR="00CF5C4A" w:rsidRDefault="00CF5C4A" w:rsidP="0068556F"/>
        </w:tc>
      </w:tr>
      <w:tr w:rsidR="00CF5C4A" w14:paraId="2FEAB814" w14:textId="77777777" w:rsidTr="0068556F">
        <w:trPr>
          <w:trHeight w:hRule="exact" w:val="542"/>
        </w:trPr>
        <w:tc>
          <w:tcPr>
            <w:tcW w:w="9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8BE78" w14:textId="77777777" w:rsidR="00CF5C4A" w:rsidRDefault="00CF5C4A" w:rsidP="0068556F"/>
        </w:tc>
        <w:tc>
          <w:tcPr>
            <w:tcW w:w="2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3FF583" w14:textId="77777777" w:rsidR="00CF5C4A" w:rsidRDefault="00CF5C4A" w:rsidP="0068556F">
            <w:pPr>
              <w:autoSpaceDE w:val="0"/>
              <w:autoSpaceDN w:val="0"/>
              <w:spacing w:before="16" w:after="0" w:line="248" w:lineRule="exact"/>
              <w:ind w:left="104" w:right="288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SOA-platforms / </w:t>
            </w:r>
            <w:r>
              <w:br/>
            </w:r>
            <w:r>
              <w:rPr>
                <w:rFonts w:ascii="ArialMT" w:eastAsia="ArialMT" w:hAnsi="ArialMT"/>
                <w:color w:val="000000"/>
                <w:sz w:val="18"/>
              </w:rPr>
              <w:t xml:space="preserve">Enterprise Service Bus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BA5610" w14:textId="77777777" w:rsidR="00CF5C4A" w:rsidRDefault="00CF5C4A" w:rsidP="0068556F">
            <w:pPr>
              <w:autoSpaceDE w:val="0"/>
              <w:autoSpaceDN w:val="0"/>
              <w:spacing w:before="138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9849BDB" w14:textId="77777777" w:rsidR="00CF5C4A" w:rsidRDefault="00CF5C4A" w:rsidP="0068556F">
            <w:pPr>
              <w:autoSpaceDE w:val="0"/>
              <w:autoSpaceDN w:val="0"/>
              <w:spacing w:before="138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F5BC43A" w14:textId="77777777" w:rsidR="00CF5C4A" w:rsidRDefault="00CF5C4A" w:rsidP="0068556F">
            <w:pPr>
              <w:autoSpaceDE w:val="0"/>
              <w:autoSpaceDN w:val="0"/>
              <w:spacing w:before="138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E83AA3B" w14:textId="77777777" w:rsidR="00CF5C4A" w:rsidRDefault="00CF5C4A" w:rsidP="0068556F">
            <w:pPr>
              <w:autoSpaceDE w:val="0"/>
              <w:autoSpaceDN w:val="0"/>
              <w:spacing w:before="138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266602" w14:textId="77777777" w:rsidR="00CF5C4A" w:rsidRDefault="00CF5C4A" w:rsidP="0068556F">
            <w:pPr>
              <w:autoSpaceDE w:val="0"/>
              <w:autoSpaceDN w:val="0"/>
              <w:spacing w:before="138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8244CFE" w14:textId="77777777" w:rsidR="00CF5C4A" w:rsidRDefault="00CF5C4A" w:rsidP="0068556F"/>
        </w:tc>
        <w:tc>
          <w:tcPr>
            <w:tcW w:w="981" w:type="dxa"/>
            <w:vMerge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3AA8630" w14:textId="77777777" w:rsidR="00CF5C4A" w:rsidRDefault="00CF5C4A" w:rsidP="0068556F"/>
        </w:tc>
      </w:tr>
      <w:tr w:rsidR="00CF5C4A" w14:paraId="6A2060C3" w14:textId="77777777" w:rsidTr="0068556F">
        <w:trPr>
          <w:trHeight w:hRule="exact" w:val="763"/>
        </w:trPr>
        <w:tc>
          <w:tcPr>
            <w:tcW w:w="9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AC88" w14:textId="77777777" w:rsidR="00CF5C4A" w:rsidRDefault="00CF5C4A" w:rsidP="0068556F"/>
        </w:tc>
        <w:tc>
          <w:tcPr>
            <w:tcW w:w="2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7BD25E" w14:textId="77777777" w:rsidR="00CF5C4A" w:rsidRDefault="00CF5C4A" w:rsidP="0068556F">
            <w:pPr>
              <w:autoSpaceDE w:val="0"/>
              <w:autoSpaceDN w:val="0"/>
              <w:spacing w:before="38" w:after="0" w:line="226" w:lineRule="exact"/>
              <w:ind w:left="104" w:right="432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Situation monitoring/ Complex Event </w:t>
            </w:r>
            <w:r>
              <w:br/>
            </w:r>
            <w:r>
              <w:rPr>
                <w:rFonts w:ascii="ArialMT" w:eastAsia="ArialMT" w:hAnsi="ArialMT"/>
                <w:color w:val="000000"/>
                <w:sz w:val="18"/>
              </w:rPr>
              <w:t xml:space="preserve">Processing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424EBD" w14:textId="77777777" w:rsidR="00CF5C4A" w:rsidRDefault="00CF5C4A" w:rsidP="0068556F">
            <w:pPr>
              <w:autoSpaceDE w:val="0"/>
              <w:autoSpaceDN w:val="0"/>
              <w:spacing w:before="242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9D3ACC2" w14:textId="77777777" w:rsidR="00CF5C4A" w:rsidRDefault="00CF5C4A" w:rsidP="0068556F">
            <w:pPr>
              <w:autoSpaceDE w:val="0"/>
              <w:autoSpaceDN w:val="0"/>
              <w:spacing w:before="242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8977150" w14:textId="77777777" w:rsidR="00CF5C4A" w:rsidRDefault="00CF5C4A" w:rsidP="0068556F">
            <w:pPr>
              <w:autoSpaceDE w:val="0"/>
              <w:autoSpaceDN w:val="0"/>
              <w:spacing w:before="242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4E2AD94" w14:textId="77777777" w:rsidR="00CF5C4A" w:rsidRDefault="00CF5C4A" w:rsidP="0068556F">
            <w:pPr>
              <w:autoSpaceDE w:val="0"/>
              <w:autoSpaceDN w:val="0"/>
              <w:spacing w:before="242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29E459" w14:textId="77777777" w:rsidR="00CF5C4A" w:rsidRDefault="00CF5C4A" w:rsidP="0068556F">
            <w:pPr>
              <w:autoSpaceDE w:val="0"/>
              <w:autoSpaceDN w:val="0"/>
              <w:spacing w:before="242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D2A2584" w14:textId="77777777" w:rsidR="00CF5C4A" w:rsidRDefault="00CF5C4A" w:rsidP="0068556F"/>
        </w:tc>
        <w:tc>
          <w:tcPr>
            <w:tcW w:w="981" w:type="dxa"/>
            <w:vMerge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4EE041A" w14:textId="77777777" w:rsidR="00CF5C4A" w:rsidRDefault="00CF5C4A" w:rsidP="0068556F"/>
        </w:tc>
      </w:tr>
      <w:tr w:rsidR="00CF5C4A" w14:paraId="1F6FF59B" w14:textId="77777777" w:rsidTr="0068556F">
        <w:trPr>
          <w:trHeight w:hRule="exact" w:val="2138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2D1AD6" w14:textId="77777777" w:rsidR="00CF5C4A" w:rsidRDefault="00CF5C4A" w:rsidP="0068556F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Contents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86B8991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Concepts and technologies for intelligent middleware: </w:t>
            </w:r>
          </w:p>
          <w:p w14:paraId="70894309" w14:textId="77777777" w:rsidR="00CF5C4A" w:rsidRDefault="00CF5C4A" w:rsidP="0068556F">
            <w:pPr>
              <w:tabs>
                <w:tab w:val="left" w:pos="788"/>
              </w:tabs>
              <w:autoSpaceDE w:val="0"/>
              <w:autoSpaceDN w:val="0"/>
              <w:spacing w:after="0" w:line="274" w:lineRule="exact"/>
              <w:ind w:left="42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Ontologies: concepts for semantic data management, ETL process, </w:t>
            </w:r>
          </w:p>
          <w:p w14:paraId="5CDD956C" w14:textId="77777777" w:rsidR="00CF5C4A" w:rsidRDefault="00CF5C4A" w:rsidP="0068556F">
            <w:pPr>
              <w:autoSpaceDE w:val="0"/>
              <w:autoSpaceDN w:val="0"/>
              <w:spacing w:after="0" w:line="224" w:lineRule="exact"/>
              <w:ind w:left="7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ontology description languages, knowledge bases and inference </w:t>
            </w:r>
          </w:p>
          <w:p w14:paraId="3BBA3277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7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mechanisms </w:t>
            </w:r>
          </w:p>
          <w:p w14:paraId="712EDE16" w14:textId="77777777" w:rsidR="00CF5C4A" w:rsidRDefault="00CF5C4A" w:rsidP="0068556F">
            <w:pPr>
              <w:tabs>
                <w:tab w:val="left" w:pos="788"/>
              </w:tabs>
              <w:autoSpaceDE w:val="0"/>
              <w:autoSpaceDN w:val="0"/>
              <w:spacing w:after="0" w:line="274" w:lineRule="exact"/>
              <w:ind w:left="42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Middleware platforms and architectures: Enterprise service bus, service </w:t>
            </w:r>
          </w:p>
          <w:p w14:paraId="2E0AF08C" w14:textId="77777777" w:rsidR="00CF5C4A" w:rsidRDefault="00CF5C4A" w:rsidP="0068556F">
            <w:pPr>
              <w:autoSpaceDE w:val="0"/>
              <w:autoSpaceDN w:val="0"/>
              <w:spacing w:after="0" w:line="268" w:lineRule="exact"/>
              <w:ind w:left="7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oriented architectures </w:t>
            </w:r>
          </w:p>
          <w:p w14:paraId="74BAFCC1" w14:textId="77777777" w:rsidR="00CF5C4A" w:rsidRDefault="00CF5C4A" w:rsidP="0068556F">
            <w:pPr>
              <w:tabs>
                <w:tab w:val="left" w:pos="788"/>
              </w:tabs>
              <w:autoSpaceDE w:val="0"/>
              <w:autoSpaceDN w:val="0"/>
              <w:spacing w:after="0" w:line="274" w:lineRule="exact"/>
              <w:ind w:left="42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Process Mining </w:t>
            </w:r>
          </w:p>
          <w:p w14:paraId="447F6668" w14:textId="77777777" w:rsidR="00CF5C4A" w:rsidRDefault="00CF5C4A" w:rsidP="0068556F">
            <w:pPr>
              <w:tabs>
                <w:tab w:val="left" w:pos="788"/>
              </w:tabs>
              <w:autoSpaceDE w:val="0"/>
              <w:autoSpaceDN w:val="0"/>
              <w:spacing w:after="0" w:line="274" w:lineRule="exact"/>
              <w:ind w:left="42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Situation recognition: event-based architectures, event-based </w:t>
            </w:r>
          </w:p>
          <w:p w14:paraId="66888C01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7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programming, complex event processing </w:t>
            </w:r>
          </w:p>
        </w:tc>
      </w:tr>
      <w:tr w:rsidR="00CF5C4A" w14:paraId="244F5D5B" w14:textId="77777777" w:rsidTr="0068556F">
        <w:trPr>
          <w:trHeight w:hRule="exact" w:val="470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2DFCB9" w14:textId="77777777" w:rsidR="00CF5C4A" w:rsidRDefault="00CF5C4A" w:rsidP="0068556F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Teaching Methods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0450EA2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Lecture (2 SWS) </w:t>
            </w:r>
          </w:p>
        </w:tc>
      </w:tr>
      <w:tr w:rsidR="00CF5C4A" w14:paraId="626EA793" w14:textId="77777777" w:rsidTr="0068556F">
        <w:trPr>
          <w:trHeight w:hRule="exact" w:val="700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BD3352" w14:textId="77777777" w:rsidR="00CF5C4A" w:rsidRDefault="00CF5C4A" w:rsidP="0068556F">
            <w:pPr>
              <w:autoSpaceDE w:val="0"/>
              <w:autoSpaceDN w:val="0"/>
              <w:spacing w:after="0" w:line="238" w:lineRule="exact"/>
              <w:ind w:left="68" w:right="8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Requirements for Participation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C667A4C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Java Programming </w:t>
            </w:r>
          </w:p>
        </w:tc>
      </w:tr>
      <w:tr w:rsidR="00CF5C4A" w14:paraId="682DC223" w14:textId="77777777" w:rsidTr="0068556F">
        <w:trPr>
          <w:trHeight w:hRule="exact" w:val="1960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1F96CE" w14:textId="77777777" w:rsidR="00CF5C4A" w:rsidRDefault="00CF5C4A" w:rsidP="0068556F">
            <w:pPr>
              <w:autoSpaceDE w:val="0"/>
              <w:autoSpaceDN w:val="0"/>
              <w:spacing w:after="0" w:line="238" w:lineRule="exact"/>
              <w:ind w:left="68" w:right="14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Literature / Multimedia- based Teaching Material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8E945F6" w14:textId="77777777" w:rsidR="00CF5C4A" w:rsidRDefault="00CF5C4A" w:rsidP="0068556F">
            <w:pPr>
              <w:tabs>
                <w:tab w:val="left" w:pos="464"/>
              </w:tabs>
              <w:autoSpaceDE w:val="0"/>
              <w:autoSpaceDN w:val="0"/>
              <w:spacing w:after="0" w:line="232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Franz Baader, Deborah L. McGuinness, Daniele Nardi, Peter F. Patel-</w:t>
            </w:r>
            <w:r>
              <w:br/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Schneider, The Description Logic Handbook (2nd Edition), Cambridge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University Press, 2010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David Chappell, Enterprise Service Bus: Theory in Practice, O’Reilly 2004 David Luckham, The Power of Events: An Introduction to Complex Event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Processing in Distributed Systems, Addison-Wesley 2002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Wil M. P. van der Aalst, Process Mining – Data Science in Action, Springer 2016 </w:t>
            </w:r>
          </w:p>
        </w:tc>
      </w:tr>
      <w:tr w:rsidR="00CF5C4A" w14:paraId="18052C37" w14:textId="77777777" w:rsidTr="0068556F">
        <w:trPr>
          <w:trHeight w:hRule="exact" w:val="470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7D9567" w14:textId="77777777" w:rsidR="00CF5C4A" w:rsidRDefault="00CF5C4A" w:rsidP="0068556F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Applicability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2D95E57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Master of Applied Computer Science, Master Angewandte Medieninformatik </w:t>
            </w:r>
          </w:p>
        </w:tc>
      </w:tr>
      <w:tr w:rsidR="00CF5C4A" w14:paraId="473542CD" w14:textId="77777777" w:rsidTr="0068556F">
        <w:trPr>
          <w:trHeight w:hRule="exact" w:val="470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7DF028" w14:textId="77777777" w:rsidR="00CF5C4A" w:rsidRDefault="00CF5C4A" w:rsidP="0068556F">
            <w:pPr>
              <w:autoSpaceDE w:val="0"/>
              <w:autoSpaceDN w:val="0"/>
              <w:spacing w:before="60" w:after="0" w:line="214" w:lineRule="exact"/>
              <w:ind w:left="68" w:right="1152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Effort/ </w:t>
            </w:r>
            <w:r>
              <w:br/>
            </w:r>
            <w:r>
              <w:rPr>
                <w:rFonts w:ascii="ArialMT" w:eastAsia="ArialMT" w:hAnsi="ArialMT"/>
                <w:color w:val="000000"/>
                <w:sz w:val="20"/>
              </w:rPr>
              <w:t>Total Workload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F72EE86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120 hrs, presence time 45 hours, self study 40 hrs, exam preparation 35 hrs </w:t>
            </w:r>
          </w:p>
        </w:tc>
      </w:tr>
      <w:tr w:rsidR="00CF5C4A" w14:paraId="3A3A1EF4" w14:textId="77777777" w:rsidTr="0068556F">
        <w:trPr>
          <w:trHeight w:hRule="exact" w:val="470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508E2F" w14:textId="77777777" w:rsidR="00CF5C4A" w:rsidRDefault="00CF5C4A" w:rsidP="0068556F">
            <w:pPr>
              <w:autoSpaceDE w:val="0"/>
              <w:autoSpaceDN w:val="0"/>
              <w:spacing w:after="0" w:line="236" w:lineRule="exact"/>
              <w:ind w:left="68" w:right="14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ECTS / Emphasis of the Grade for the final Grade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A6B8780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4 CP (Emphasis of the grade for the final grade 4/120) </w:t>
            </w:r>
          </w:p>
        </w:tc>
      </w:tr>
      <w:tr w:rsidR="00CF5C4A" w14:paraId="5C5523BA" w14:textId="77777777" w:rsidTr="0068556F">
        <w:trPr>
          <w:trHeight w:hRule="exact" w:val="240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C24E3B" w14:textId="77777777" w:rsidR="00CF5C4A" w:rsidRDefault="00CF5C4A" w:rsidP="0068556F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Performance Record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340143C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Written exam </w:t>
            </w:r>
          </w:p>
        </w:tc>
      </w:tr>
      <w:tr w:rsidR="00CF5C4A" w14:paraId="70F8F3AE" w14:textId="77777777" w:rsidTr="0068556F">
        <w:trPr>
          <w:trHeight w:hRule="exact" w:val="472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487FEB" w14:textId="77777777" w:rsidR="00CF5C4A" w:rsidRDefault="00CF5C4A" w:rsidP="0068556F">
            <w:pPr>
              <w:autoSpaceDE w:val="0"/>
              <w:autoSpaceDN w:val="0"/>
              <w:spacing w:before="8" w:after="0" w:line="222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Semester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D60430B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1st and 3rd Semester </w:t>
            </w:r>
          </w:p>
        </w:tc>
      </w:tr>
      <w:tr w:rsidR="00CF5C4A" w14:paraId="030A1BB8" w14:textId="77777777" w:rsidTr="0068556F">
        <w:trPr>
          <w:trHeight w:hRule="exact" w:val="470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A94FA0" w14:textId="77777777" w:rsidR="00CF5C4A" w:rsidRDefault="00CF5C4A" w:rsidP="0068556F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Frequency of Occurrence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F6078E1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Every second year </w:t>
            </w:r>
          </w:p>
        </w:tc>
      </w:tr>
      <w:tr w:rsidR="00CF5C4A" w14:paraId="28B1CCFC" w14:textId="77777777" w:rsidTr="0068556F">
        <w:trPr>
          <w:trHeight w:hRule="exact" w:val="240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D61C5D" w14:textId="77777777" w:rsidR="00CF5C4A" w:rsidRDefault="00CF5C4A" w:rsidP="0068556F">
            <w:pPr>
              <w:autoSpaceDE w:val="0"/>
              <w:autoSpaceDN w:val="0"/>
              <w:spacing w:before="4" w:after="0" w:line="22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>Duration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20AF04E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One Semester </w:t>
            </w:r>
          </w:p>
        </w:tc>
      </w:tr>
      <w:tr w:rsidR="00CF5C4A" w14:paraId="228F7D28" w14:textId="77777777" w:rsidTr="0068556F">
        <w:trPr>
          <w:trHeight w:hRule="exact" w:val="2288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11A1B5" w14:textId="77777777" w:rsidR="00CF5C4A" w:rsidRDefault="00CF5C4A" w:rsidP="0068556F">
            <w:pPr>
              <w:autoSpaceDE w:val="0"/>
              <w:autoSpaceDN w:val="0"/>
              <w:spacing w:after="0" w:line="272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Type of Course </w:t>
            </w:r>
          </w:p>
        </w:tc>
        <w:tc>
          <w:tcPr>
            <w:tcW w:w="7234" w:type="dxa"/>
            <w:gridSpan w:val="8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7758580" w14:textId="77777777" w:rsidR="00CF5C4A" w:rsidRDefault="00CF5C4A" w:rsidP="0068556F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Selection area </w:t>
            </w:r>
          </w:p>
        </w:tc>
      </w:tr>
    </w:tbl>
    <w:p w14:paraId="7728B9D3" w14:textId="77777777" w:rsidR="00233459" w:rsidRPr="00CF5C4A" w:rsidRDefault="00233459" w:rsidP="00CF5C4A"/>
    <w:sectPr w:rsidR="00233459" w:rsidRPr="00CF5C4A" w:rsidSect="00034616">
      <w:pgSz w:w="11906" w:h="16838"/>
      <w:pgMar w:top="734" w:right="1032" w:bottom="776" w:left="10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668697">
    <w:abstractNumId w:val="8"/>
  </w:num>
  <w:num w:numId="2" w16cid:durableId="388192343">
    <w:abstractNumId w:val="6"/>
  </w:num>
  <w:num w:numId="3" w16cid:durableId="1499342130">
    <w:abstractNumId w:val="5"/>
  </w:num>
  <w:num w:numId="4" w16cid:durableId="1551261089">
    <w:abstractNumId w:val="4"/>
  </w:num>
  <w:num w:numId="5" w16cid:durableId="1843860735">
    <w:abstractNumId w:val="7"/>
  </w:num>
  <w:num w:numId="6" w16cid:durableId="823669726">
    <w:abstractNumId w:val="3"/>
  </w:num>
  <w:num w:numId="7" w16cid:durableId="626619974">
    <w:abstractNumId w:val="2"/>
  </w:num>
  <w:num w:numId="8" w16cid:durableId="814026508">
    <w:abstractNumId w:val="1"/>
  </w:num>
  <w:num w:numId="9" w16cid:durableId="90364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04C"/>
    <w:rsid w:val="00034616"/>
    <w:rsid w:val="0006063C"/>
    <w:rsid w:val="0015074B"/>
    <w:rsid w:val="00233459"/>
    <w:rsid w:val="0029639D"/>
    <w:rsid w:val="00326F90"/>
    <w:rsid w:val="006C413F"/>
    <w:rsid w:val="00AA1D8D"/>
    <w:rsid w:val="00B47730"/>
    <w:rsid w:val="00CB0664"/>
    <w:rsid w:val="00CF5C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E3AA3DE-7109-4C32-907C-344F2BE8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Hasan Khan</cp:lastModifiedBy>
  <cp:revision>3</cp:revision>
  <dcterms:created xsi:type="dcterms:W3CDTF">2013-12-23T23:15:00Z</dcterms:created>
  <dcterms:modified xsi:type="dcterms:W3CDTF">2024-05-31T12:16:00Z</dcterms:modified>
  <cp:category/>
</cp:coreProperties>
</file>