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9556</w:t>
        <w:tab/>
        <w:t>12161</w:t>
        <w:tab/>
        <w:t>Head of Digital Consulting (m/w/d) München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16:10:08.174000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