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5694</w:t>
        <w:tab/>
        <w:t>8299</w:t>
        <w:tab/>
        <w:t>SB Projektkoordination EDL (m/w/d)</w:t>
        <w:tab/>
        <w:t>In our Sales &amp; Shared Service department in the area of ​​business development, we are now looking for you as SB Project Coordinator EDL (m/f/d) with commitment.</w:t>
        <w:br/>
        <w:br/>
        <w:t>Stadtwerke Essen AG supplies the city area with natural gas, electricity, heat and drinking water. The areas of responsibility also include the maintenance and expansion of the sewage network and the operation of a trilogistic center in the port of Essen. In order to be able to provide all of these services to customers on a daily basis, around 900 qualified employees work in the company.</w:t>
        <w:br/>
        <w:br/>
        <w:t>What awaits you:</w:t>
        <w:br/>
        <w:br/>
        <w:t xml:space="preserve"> * You control and implement projects in the field of energy services for the supply of buildings with different energy concepts (in particular photovoltaic systems, but also other energy solutions such as e-mobility).</w:t>
        <w:br/>
        <w:t xml:space="preserve"> * You take over the technical and commercial project management and accompany on-site appointments in order to monitor all project progress</w:t>
        <w:br/>
        <w:t xml:space="preserve"> * You will be involved in the further development of the product portfolio for all aspects of energy supply for residential buildings and support the creation of district concepts</w:t>
        <w:br/>
        <w:t xml:space="preserve"> * You acquire new projects and support participation in project tenders</w:t>
        <w:br/>
        <w:t xml:space="preserve"> * You carry out market observations and competition analyzes and take part in events in the field of energy solutions, especially for the housing industry</w:t>
        <w:br/>
        <w:br/>
        <w:t>Your skills:</w:t>
        <w:br/>
        <w:t xml:space="preserve"> * You have successfully completed a university of applied sciences degree (Bachelor) with a focus on energy management or a comparable qualification</w:t>
        <w:br/>
        <w:t xml:space="preserve"> * You can demonstrate at least three years of professional and project experience in the field of energy solutions (everything to do with the supply of buildings).</w:t>
        <w:br/>
        <w:t xml:space="preserve"> * You have in-depth practical knowledge of project management and techniques</w:t>
        <w:br/>
        <w:t xml:space="preserve"> * You have comprehensive knowledge of the necessary legal provisions (HGB, EEG, EnWG, GoB, etc.)</w:t>
        <w:br/>
        <w:t xml:space="preserve"> * You are service-oriented, have very good and pronounced written and spoken communication skills and convey a friendly and consistent demeanor</w:t>
        <w:br/>
        <w:br/>
        <w:t>You can look forward to:</w:t>
        <w:br/>
        <w:t xml:space="preserve"> * A certified "family-friendly company" with future-oriented security</w:t>
        <w:br/>
        <w:t xml:space="preserve"> * The opportunity to create a good balance between work and private life through e.g. B. flexible working hours without core time, an attractive bridging day arrangement and the opportunity to work mobile</w:t>
        <w:br/>
        <w:t xml:space="preserve"> * A salary regulated by a collective agreement and fixed salary increases, 39-hour week, Christmas bonus, 30 days of vacation and special vacation days</w:t>
        <w:br/>
        <w:t xml:space="preserve"> * A very good compatibility of family and work through e.g. B. flexible working time models during and after parental leave and company-supported childcare, including vacation offers</w:t>
        <w:br/>
        <w:t xml:space="preserve"> * Financial security through a company pension scheme as well as gross salary conversion or capital-forming benefits with an employer contribution</w:t>
        <w:br/>
        <w:t xml:space="preserve"> * Benefits in the form of discounts via the Corporate Benefits portal and attractive bike leasing offers</w:t>
        <w:br/>
        <w:t xml:space="preserve"> * Regular offers about your health, exercise and nutrition</w:t>
        <w:br/>
        <w:t xml:space="preserve"> * Fresh and inexpensive menus and snacks in our canteen and free water as well as free parking spaces in our underground car park</w:t>
        <w:br/>
        <w:br/>
        <w:br/>
        <w:br/>
        <w:t>What are you waiting for? Apply now online at https://www.stadtwerke-essen.de/karriere/stellenangebote/projektkoordination-edl-m/w/d.</w:t>
        <w:tab/>
        <w:t>project manager</w:t>
        <w:tab/>
        <w:t>None</w:t>
        <w:tab/>
        <w:t>2023-03-07 16:02:14.523000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