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Complaint Handling Standard Operating Procedure</w:t>
      </w:r>
    </w:p>
    <w:p>
      <w:r>
        <w:rPr>
          <w:b w:val="0"/>
          <w:color w:val="3C3C3C"/>
          <w:sz w:val="18"/>
        </w:rPr>
        <w:t>Document ID: CHP-SOP-13 | Version: 2.0 | Status: Active | Effective date: 2026-01-15 | Expiry date: none | Owner: Customer Relations</w:t>
      </w:r>
    </w:p>
    <w:p>
      <w:pPr>
        <w:pStyle w:val="Heading1"/>
      </w:pPr>
      <w:r>
        <w:t>1 Purpose</w:t>
      </w:r>
    </w:p>
    <w:p>
      <w:r>
        <w:rPr>
          <w:b w:val="0"/>
        </w:rPr>
        <w:t>This procedure describes the steps that Lumora Home Technologies staff follow to handle a complaint from intake to closure. It puts the principles of the Complaint Handling Policy CHP-POL-01 into practice and sets the standards for customer responses, missing information, manual review and follow-up communications.</w:t>
      </w:r>
    </w:p>
    <w:p>
      <w:pPr>
        <w:pStyle w:val="Heading1"/>
      </w:pPr>
      <w:r>
        <w:t>2 Procedure Overview</w:t>
      </w:r>
    </w:p>
    <w:p>
      <w:r>
        <w:rPr>
          <w:b w:val="0"/>
        </w:rPr>
        <w:t>Every complaint follows the same nine steps: intake and acknowledgement, verification, classification, policy check, resolution proposal, validation, customer response, follow-up scheduling and closure. Steps are completed in order, and each step is recorded in the case. Where a mandatory escalation trigger in ESC-SOP-12 section 4 applies, the escalation is raised as soon as the trigger is identified, at whatever step that happens.</w:t>
      </w:r>
    </w:p>
    <w:p>
      <w:pPr>
        <w:pStyle w:val="Heading1"/>
      </w:pPr>
      <w:r>
        <w:t>3 Procedure Steps</w:t>
      </w:r>
    </w:p>
    <w:p>
      <w:r>
        <w:rPr>
          <w:b w:val="0"/>
        </w:rPr>
        <w:t>The steps below apply to every complaint, whichever department owns it and whichever channel it arrived through.</w:t>
      </w:r>
    </w:p>
    <w:p>
      <w:pPr>
        <w:pStyle w:val="Heading2"/>
      </w:pPr>
      <w:r>
        <w:t>3.1 Intake and Acknowledgement</w:t>
      </w:r>
    </w:p>
    <w:p>
      <w:r>
        <w:rPr>
          <w:b w:val="0"/>
        </w:rPr>
        <w:t>Register the complaint with its channel, the customer's details and the information listed in CHP-POL-01 section 4.2. Check whether it is a duplicate of an open complaint (CHP-POL-01 section 7.1) or a repeat of an earlier one (CHP-POL-01 section 3.3). Send the acknowledgement within the first-response target in SLA-RUL-15 section 3, using the structure in TPL-COM-18 section 2.</w:t>
      </w:r>
    </w:p>
    <w:p>
      <w:pPr>
        <w:pStyle w:val="Heading2"/>
      </w:pPr>
      <w:r>
        <w:t>3.2 Verification</w:t>
      </w:r>
    </w:p>
    <w:p>
      <w:r>
        <w:rPr>
          <w:b w:val="0"/>
        </w:rPr>
        <w:t>Verify the customer's identity or account and the order or transaction before proposing a resolution. Identity is verified under SEC-POL-09 section 6. The order or transaction is checked against the order ledger and the transaction records, including dates, items and amounts. Facts that cannot be verified are recorded as unverified and are not used as the basis for a resolution.</w:t>
      </w:r>
    </w:p>
    <w:p>
      <w:pPr>
        <w:pStyle w:val="Heading2"/>
      </w:pPr>
      <w:r>
        <w:t>3.3 Classification</w:t>
      </w:r>
    </w:p>
    <w:p>
      <w:r>
        <w:rPr>
          <w:b w:val="0"/>
        </w:rPr>
        <w:t>Record the primary issue, secondary issues, category and subcategory. Classification uses the approved taxonomy and the primary-issue rule in CHP-POL-01 section 3.2. Then set the urgency, impact and priority under SLA-RUL-15 and the owning and supporting departments under the Department Routing Rules RTE-RUL-14.</w:t>
      </w:r>
    </w:p>
    <w:p>
      <w:pPr>
        <w:pStyle w:val="Heading2"/>
      </w:pPr>
      <w:r>
        <w:t>3.4 Policy Check</w:t>
      </w:r>
    </w:p>
    <w:p>
      <w:r>
        <w:rPr>
          <w:b w:val="0"/>
        </w:rPr>
        <w:t>Retrieve the active policy section and cite it. Only documents that are Active and within their effective and expiry dates may be used (CHP-POL-01 section 10.1). When two documents give different answers, the precedence rules in CHP-POL-01 section 10 decide which one applies, and the conflict is recorded for the document owner.</w:t>
      </w:r>
    </w:p>
    <w:p>
      <w:pPr>
        <w:pStyle w:val="Heading2"/>
      </w:pPr>
      <w:r>
        <w:t>3.5 Resolution Proposal</w:t>
      </w:r>
    </w:p>
    <w:p>
      <w:r>
        <w:rPr>
          <w:b w:val="0"/>
        </w:rPr>
        <w:t>Include all required actions and no prohibited actions. The proposal lists each action, the department responsible for it, the policy section that supports it and any timeline stated in that policy. Actions that the policy lists as prohibited, such as promising a refund before verification or requesting full card numbers, are never included.</w:t>
      </w:r>
    </w:p>
    <w:p>
      <w:pPr>
        <w:pStyle w:val="Heading2"/>
      </w:pPr>
      <w:r>
        <w:t>3.6 Validation</w:t>
      </w:r>
    </w:p>
    <w:p>
      <w:r>
        <w:rPr>
          <w:b w:val="0"/>
        </w:rPr>
        <w:t>The automated rule validation must pass; otherwise the case goes to manual review. The validation compares the proposed classification, routing, priority, escalation and actions with the approved rule matrix. A reviewer who changes the proposal records the reason, and the change is kept with the original proposal under CHP-POL-01 section 9.</w:t>
      </w:r>
    </w:p>
    <w:p>
      <w:pPr>
        <w:pStyle w:val="Heading2"/>
      </w:pPr>
      <w:r>
        <w:t>3.7 Customer Response</w:t>
      </w:r>
    </w:p>
    <w:p>
      <w:r>
        <w:rPr>
          <w:b w:val="0"/>
        </w:rPr>
        <w:t>Write the response to the standards in section 4, using the relevant template in TPL-COM-18 as a structure guide. Every statement in the response must come from the validated case and the cited policy. The response is sent through the customer's preferred contact method where possible and is recorded in the case.</w:t>
      </w:r>
    </w:p>
    <w:p>
      <w:pPr>
        <w:pStyle w:val="Heading2"/>
      </w:pPr>
      <w:r>
        <w:t>3.8 Follow-Up Scheduling</w:t>
      </w:r>
    </w:p>
    <w:p>
      <w:r>
        <w:rPr>
          <w:b w:val="0"/>
        </w:rPr>
        <w:t>Schedule each follow-up the case requires, choosing the type from section 8 and a due time that matches the timeline in the applicable policy or SLA. For example, a refund-status update is scheduled for the refund issue time in REF-POL-02 section 4.3. Follow-ups are assigned to the owning department and appear in its work queue.</w:t>
      </w:r>
    </w:p>
    <w:p>
      <w:pPr>
        <w:pStyle w:val="Heading2"/>
      </w:pPr>
      <w:r>
        <w:t>3.9 Closure</w:t>
      </w:r>
    </w:p>
    <w:p>
      <w:r>
        <w:rPr>
          <w:b w:val="0"/>
        </w:rPr>
        <w:t>Close the complaint only when the agreed remedy has been delivered or the customer has received a clear policy-based explanation of the outcome. Send the closure confirmation described in CHP-POL-01 section 8.1, including how to reopen the complaint within the reopening period in CHP-POL-01 section 8.2.</w:t>
      </w:r>
    </w:p>
    <w:p>
      <w:pPr>
        <w:pStyle w:val="Heading1"/>
      </w:pPr>
      <w:r>
        <w:t>4 Response Standards</w:t>
      </w:r>
    </w:p>
    <w:p>
      <w:r>
        <w:rPr>
          <w:b w:val="0"/>
        </w:rPr>
        <w:t>Every customer response must:</w:t>
      </w:r>
    </w:p>
    <w:p>
      <w:pPr>
        <w:pStyle w:val="ListBullet"/>
      </w:pPr>
      <w:r>
        <w:rPr>
          <w:b w:val="0"/>
        </w:rPr>
        <w:t>acknowledge the complaint</w:t>
      </w:r>
    </w:p>
    <w:p>
      <w:pPr>
        <w:pStyle w:val="ListBullet"/>
      </w:pPr>
      <w:r>
        <w:rPr>
          <w:b w:val="0"/>
        </w:rPr>
        <w:t>show appropriate empathy</w:t>
      </w:r>
    </w:p>
    <w:p>
      <w:pPr>
        <w:pStyle w:val="ListBullet"/>
      </w:pPr>
      <w:r>
        <w:rPr>
          <w:b w:val="0"/>
        </w:rPr>
        <w:t>summarise the issue</w:t>
      </w:r>
    </w:p>
    <w:p>
      <w:pPr>
        <w:pStyle w:val="ListBullet"/>
      </w:pPr>
      <w:r>
        <w:rPr>
          <w:b w:val="0"/>
        </w:rPr>
        <w:t>explain the next step</w:t>
      </w:r>
    </w:p>
    <w:p>
      <w:pPr>
        <w:pStyle w:val="ListBullet"/>
      </w:pPr>
      <w:r>
        <w:rPr>
          <w:b w:val="0"/>
        </w:rPr>
        <w:t>make no unsupported promises</w:t>
      </w:r>
    </w:p>
    <w:p>
      <w:pPr>
        <w:pStyle w:val="ListBullet"/>
      </w:pPr>
      <w:r>
        <w:rPr>
          <w:b w:val="0"/>
        </w:rPr>
        <w:t>state timelines only when supported by policy or SLA</w:t>
      </w:r>
    </w:p>
    <w:p>
      <w:pPr>
        <w:pStyle w:val="ListBullet"/>
      </w:pPr>
      <w:r>
        <w:rPr>
          <w:b w:val="0"/>
        </w:rPr>
        <w:t>use professional language</w:t>
      </w:r>
    </w:p>
    <w:p>
      <w:pPr>
        <w:pStyle w:val="ListBullet"/>
      </w:pPr>
      <w:r>
        <w:rPr>
          <w:b w:val="0"/>
        </w:rPr>
        <w:t>supported tones: professional, empathetic, concise, formal</w:t>
      </w:r>
    </w:p>
    <w:p>
      <w:r>
        <w:rPr>
          <w:b w:val="0"/>
        </w:rPr>
        <w:t>The tone is chosen to suit the customer and the situation; the definitions of each tone are in TPL-COM-18 section 9. Responses never blame the customer and never include internal notes or other customers' information.</w:t>
      </w:r>
    </w:p>
    <w:p>
      <w:pPr>
        <w:pStyle w:val="Heading1"/>
      </w:pPr>
      <w:r>
        <w:t>5 Missing Information</w:t>
      </w:r>
    </w:p>
    <w:p>
      <w:r>
        <w:rPr>
          <w:b w:val="0"/>
        </w:rPr>
        <w:t>Request a missing order number, transaction date, product, problem description or evidence with focused clarification questions. Ask only for what is needed to take the next step, explain why it is needed and use the structure in TPL-COM-18 section 4. Do not guess or assume the missing details. The case stays open while the customer is asked, and a follow-up of the type "request for additional information" is scheduled.</w:t>
      </w:r>
    </w:p>
    <w:p>
      <w:pPr>
        <w:pStyle w:val="Heading1"/>
      </w:pPr>
      <w:r>
        <w:t>6 Agent Guidance Standards</w:t>
      </w:r>
    </w:p>
    <w:p>
      <w:r>
        <w:rPr>
          <w:b w:val="0"/>
        </w:rPr>
        <w:t>Guidance given to agents for a case uses clear, action-based steps such as:</w:t>
      </w:r>
    </w:p>
    <w:p>
      <w:pPr>
        <w:pStyle w:val="ListBullet"/>
      </w:pPr>
      <w:r>
        <w:rPr>
          <w:b w:val="0"/>
        </w:rPr>
        <w:t>verify account</w:t>
      </w:r>
    </w:p>
    <w:p>
      <w:pPr>
        <w:pStyle w:val="ListBullet"/>
      </w:pPr>
      <w:r>
        <w:rPr>
          <w:b w:val="0"/>
        </w:rPr>
        <w:t>check transaction</w:t>
      </w:r>
    </w:p>
    <w:p>
      <w:pPr>
        <w:pStyle w:val="ListBullet"/>
      </w:pPr>
      <w:r>
        <w:rPr>
          <w:b w:val="0"/>
        </w:rPr>
        <w:t>review shipment</w:t>
      </w:r>
    </w:p>
    <w:p>
      <w:pPr>
        <w:pStyle w:val="ListBullet"/>
      </w:pPr>
      <w:r>
        <w:rPr>
          <w:b w:val="0"/>
        </w:rPr>
        <w:t>request evidence</w:t>
      </w:r>
    </w:p>
    <w:p>
      <w:pPr>
        <w:pStyle w:val="ListBullet"/>
      </w:pPr>
      <w:r>
        <w:rPr>
          <w:b w:val="0"/>
        </w:rPr>
        <w:t>consult supervisor</w:t>
      </w:r>
    </w:p>
    <w:p>
      <w:pPr>
        <w:pStyle w:val="ListBullet"/>
      </w:pPr>
      <w:r>
        <w:rPr>
          <w:b w:val="0"/>
        </w:rPr>
        <w:t>do not promise a refund before verification</w:t>
      </w:r>
    </w:p>
    <w:p>
      <w:r>
        <w:rPr>
          <w:b w:val="0"/>
        </w:rPr>
        <w:t>Each step names the system or record to check and the policy section it relates to, so that the agent can complete it without further research.</w:t>
      </w:r>
    </w:p>
    <w:p>
      <w:pPr>
        <w:pStyle w:val="Heading1"/>
      </w:pPr>
      <w:r>
        <w:t>7 Manual Review Triggers</w:t>
      </w:r>
    </w:p>
    <w:p>
      <w:r>
        <w:rPr>
          <w:b w:val="0"/>
        </w:rPr>
        <w:t>A complaint is sent for manual review by a supervisor or specialist when any of the following apply:</w:t>
      </w:r>
    </w:p>
    <w:p>
      <w:pPr>
        <w:pStyle w:val="ListBullet"/>
      </w:pPr>
      <w:r>
        <w:rPr>
          <w:b w:val="0"/>
        </w:rPr>
        <w:t>significant disagreement between the AI recommendation and the rule validation</w:t>
      </w:r>
    </w:p>
    <w:p>
      <w:pPr>
        <w:pStyle w:val="ListBullet"/>
      </w:pPr>
      <w:r>
        <w:rPr>
          <w:b w:val="0"/>
        </w:rPr>
        <w:t>missing policy support</w:t>
      </w:r>
    </w:p>
    <w:p>
      <w:pPr>
        <w:pStyle w:val="ListBullet"/>
      </w:pPr>
      <w:r>
        <w:rPr>
          <w:b w:val="0"/>
        </w:rPr>
        <w:t>ambiguous complaints</w:t>
      </w:r>
    </w:p>
    <w:p>
      <w:pPr>
        <w:pStyle w:val="ListBullet"/>
      </w:pPr>
      <w:r>
        <w:rPr>
          <w:b w:val="0"/>
        </w:rPr>
        <w:t>unclear escalation</w:t>
      </w:r>
    </w:p>
    <w:p>
      <w:pPr>
        <w:pStyle w:val="ListBullet"/>
      </w:pPr>
      <w:r>
        <w:rPr>
          <w:b w:val="0"/>
        </w:rPr>
        <w:t>policy contradictions</w:t>
      </w:r>
    </w:p>
    <w:p>
      <w:pPr>
        <w:pStyle w:val="ListBullet"/>
      </w:pPr>
      <w:r>
        <w:rPr>
          <w:b w:val="0"/>
        </w:rPr>
        <w:t>sensitive cases (safety, privacy, legal, staff misconduct)</w:t>
      </w:r>
    </w:p>
    <w:p>
      <w:pPr>
        <w:pStyle w:val="ListBullet"/>
      </w:pPr>
      <w:r>
        <w:rPr>
          <w:b w:val="0"/>
        </w:rPr>
        <w:t>invalid AI output after retries</w:t>
      </w:r>
    </w:p>
    <w:p>
      <w:r>
        <w:rPr>
          <w:b w:val="0"/>
        </w:rPr>
        <w:t>The reviewer decides the classification, routing, escalation and resolution and records the reasons. Manual review does not delay mandatory escalations or safety actions.</w:t>
      </w:r>
    </w:p>
    <w:p>
      <w:pPr>
        <w:pStyle w:val="Heading1"/>
      </w:pPr>
      <w:r>
        <w:t>8 Follow-Up Types</w:t>
      </w:r>
    </w:p>
    <w:p>
      <w:r>
        <w:rPr>
          <w:b w:val="0"/>
        </w:rPr>
        <w:t>The following follow-up communications are used:</w:t>
      </w:r>
    </w:p>
    <w:p>
      <w:pPr>
        <w:pStyle w:val="ListBullet"/>
      </w:pPr>
      <w:r>
        <w:rPr>
          <w:b w:val="0"/>
        </w:rPr>
        <w:t>request for additional information</w:t>
      </w:r>
    </w:p>
    <w:p>
      <w:pPr>
        <w:pStyle w:val="ListBullet"/>
      </w:pPr>
      <w:r>
        <w:rPr>
          <w:b w:val="0"/>
        </w:rPr>
        <w:t>resolution confirmation</w:t>
      </w:r>
    </w:p>
    <w:p>
      <w:pPr>
        <w:pStyle w:val="ListBullet"/>
      </w:pPr>
      <w:r>
        <w:rPr>
          <w:b w:val="0"/>
        </w:rPr>
        <w:t>refund-status update</w:t>
      </w:r>
    </w:p>
    <w:p>
      <w:pPr>
        <w:pStyle w:val="ListBullet"/>
      </w:pPr>
      <w:r>
        <w:rPr>
          <w:b w:val="0"/>
        </w:rPr>
        <w:t>replacement-status update</w:t>
      </w:r>
    </w:p>
    <w:p>
      <w:pPr>
        <w:pStyle w:val="ListBullet"/>
      </w:pPr>
      <w:r>
        <w:rPr>
          <w:b w:val="0"/>
        </w:rPr>
        <w:t>escalation acknowledgement</w:t>
      </w:r>
    </w:p>
    <w:p>
      <w:pPr>
        <w:pStyle w:val="ListBullet"/>
      </w:pPr>
      <w:r>
        <w:rPr>
          <w:b w:val="0"/>
        </w:rPr>
        <w:t>closure confirmation</w:t>
      </w:r>
    </w:p>
    <w:p>
      <w:r>
        <w:rPr>
          <w:b w:val="0"/>
        </w:rPr>
        <w:t>Each follow-up is recorded with its type, due time and owner, and the templates for each type are in TPL-COM-18.</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CHP-SOP-13 v2.0 - Complaint Handling Standard Operating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Handling Standard Operating Procedure</dc:title>
  <dc:subject>CHP-SOP-13</dc:subject>
  <dc:creator>Lumora Home Technologies</dc:creator>
  <cp:keywords>complaints, procedure, response-standards, missing-information, agent-guidance, manual-review, follow-up</cp:keywords>
  <dc:description>version=2.0;status=Active;effective=2026-01-15</dc:description>
  <cp:lastModifiedBy>SupportNova scripts/build_knowledge_base.py</cp:lastModifiedBy>
  <cp:revision>1</cp:revision>
  <dcterms:created xsi:type="dcterms:W3CDTF">2026-01-15T00:00:00Z</dcterms:created>
  <dcterms:modified xsi:type="dcterms:W3CDTF">2026-01-15T00:00:00Z</dcterms:modified>
  <cp:category>sop</cp:category>
  <cp:contentStatus>Active</cp:contentStatus>
  <dc:identifier>CHP-SOP-13_v2.0</dc:identifier>
  <cp:version>2.0</cp:version>
  <dc:language>en-US</dc:language>
  <cp:lastPrinted>2026-01-15T00:00:00Z</cp:lastPrinted>
</cp:coreProperties>
</file>