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jc w:val="center"/>
      </w:pPr>
      <w:r>
        <w:rPr>
          <w:b/>
          <w:bCs/>
          <w:color w:val="111827"/>
          <w:sz w:val="56"/>
          <w:szCs w:val="56"/>
        </w:rPr>
        <w:t xml:space="preserve">VenQore POS</w:t>
      </w:r>
    </w:p>
    <w:p>
      <w:pPr>
        <w:spacing w:after="100"/>
        <w:jc w:val="center"/>
      </w:pPr>
      <w:r>
        <w:rPr>
          <w:b/>
          <w:bCs/>
          <w:color w:val="374151"/>
          <w:sz w:val="36"/>
          <w:szCs w:val="36"/>
        </w:rPr>
        <w:t xml:space="preserve">Launch Readiness Plan</w:t>
      </w:r>
    </w:p>
    <w:p>
      <w:pPr>
        <w:spacing w:after="500"/>
        <w:jc w:val="center"/>
      </w:pPr>
      <w:r>
        <w:rPr>
          <w:i/>
          <w:iCs/>
          <w:color w:val="6B7280"/>
          <w:sz w:val="22"/>
          <w:szCs w:val="22"/>
        </w:rPr>
        <w:t xml:space="preserve">Prepared July 2, 2026 · Target go-live: tomorrow</w:t>
      </w:r>
    </w:p>
    <w:p>
      <w:pPr>
        <w:spacing w:after="200"/>
        <w:jc w:val="center"/>
      </w:pPr>
      <w:r>
        <w:rPr>
          <w:b/>
          <w:bCs/>
          <w:color w:val="FFFFFF"/>
          <w:sz w:val="20"/>
          <w:szCs w:val="20"/>
          <w:shd w:fill="C0392B" w:val="clear"/>
        </w:rPr>
        <w:t xml:space="preserve">THE ONE-LINE VERDICT</w:t>
      </w:r>
    </w:p>
    <w:p>
      <w:pPr>
        <w:spacing w:after="400"/>
        <w:jc w:val="center"/>
      </w:pPr>
      <w:r>
        <w:rPr>
          <w:i/>
          <w:iCs/>
          <w:sz w:val="22"/>
          <w:szCs w:val="22"/>
        </w:rPr>
        <w:t xml:space="preserve">The money engine is solid. What's not launch-safe is the environment file, the pricing page, and unproven billing add-ons — all fixable tonight in well under a day of focused work.</w:t>
      </w:r>
    </w:p>
    <w:p>
      <w:pPr>
        <w:pBdr>
          <w:bottom w:val="single" w:color="D1D5DB" w:sz="6" w:space="1"/>
        </w:pBdr>
        <w:spacing w:after="240" w:before="120"/>
      </w:pPr>
    </w:p>
    <w:p>
      <w:pPr>
        <w:pStyle w:val="Heading3"/>
      </w:pPr>
      <w:r>
        <w:t xml:space="preserve">What this document is</w:t>
      </w:r>
    </w:p>
    <w:p>
      <w:pPr>
        <w:spacing w:after="160"/>
      </w:pPr>
      <w:r>
        <w:t xml:space="preserve">This consolidates the two audits already on disk — VenQore_Master_Roadmap_87_to_100.md and VenQore_Consistency_Audit_2026-06-29.md — cross-checked against the live codebase today (seeder, config, .env, Pricing.jsx, git-tracked files). Every issue below was re-verified, not just copied from the audits. File paths and line numbers are given so fixes can be made directly.</w:t>
      </w:r>
    </w:p>
    <w:p>
      <w:pPr>
        <w:spacing w:after="160"/>
      </w:pPr>
      <w:r>
        <w:t xml:space="preserve">Tiers are ordered by what actually blocks an honest, safe launch tomorrow versus what can wait.</w:t>
      </w:r>
    </w:p>
    <w:p>
      <w:r>
        <w:br w:type="page"/>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Tier 0 — Do Before Anything Else Goes Live</w:t>
      </w:r>
    </w:p>
    <w:p>
      <w:pPr>
        <w:spacing w:after="160"/>
      </w:pPr>
      <w:r>
        <w:t xml:space="preserve">These are not "launch polish." These are the difference between a real production launch and accidentally running your business on a development server. Every item here was found live in the current .env / codebase today, not hypothetical.</w:t>
      </w:r>
    </w:p>
    <w:p>
      <w:pPr>
        <w:pStyle w:val="Heading2"/>
      </w:pPr>
      <w:r>
        <w:t xml:space="preserve">0.1 — The live environment is configured as a local dev server</w:t>
      </w:r>
    </w:p>
    <w:p>
      <w:pPr>
        <w:spacing w:after="120"/>
      </w:pPr>
      <w:r>
        <w:rPr>
          <w:b/>
          <w:bCs/>
          <w:color w:val="FFFFFF"/>
          <w:shd w:fill="C0392B" w:val="clear"/>
        </w:rPr>
        <w:t xml:space="preserve">  CRITICAL — BLOCKS LAUNCH  </w:t>
      </w:r>
    </w:p>
    <w:p>
      <w:pPr>
        <w:spacing w:after="160"/>
      </w:pPr>
      <w:r>
        <w:t xml:space="preserve">Checked E:\AMD POS\AMD POS\.env directly. Right now it reads:</w:t>
      </w:r>
    </w:p>
    <w:p>
      <w:pPr>
        <w:spacing w:after="80"/>
      </w:pPr>
      <w:r>
        <w:rPr>
          <w:rFonts w:ascii="Consolas" w:cs="Consolas" w:eastAsia="Consolas" w:hAnsi="Consolas"/>
          <w:color w:val="B91C1C"/>
          <w:sz w:val="20"/>
          <w:szCs w:val="20"/>
        </w:rPr>
        <w:t xml:space="preserve">APP_ENV=local</w:t>
      </w:r>
      <w:r>
        <w:rPr>
          <w:sz w:val="20"/>
          <w:szCs w:val="20"/>
        </w:rPr>
        <w:t xml:space="preserve">   →  should be </w:t>
      </w:r>
      <w:r>
        <w:rPr>
          <w:rFonts w:ascii="Consolas" w:cs="Consolas" w:eastAsia="Consolas" w:hAnsi="Consolas"/>
          <w:color w:val="B91C1C"/>
          <w:sz w:val="20"/>
          <w:szCs w:val="20"/>
        </w:rPr>
        <w:t xml:space="preserve">production</w:t>
      </w:r>
    </w:p>
    <w:p>
      <w:pPr>
        <w:spacing w:after="80"/>
      </w:pPr>
      <w:r>
        <w:rPr>
          <w:rFonts w:ascii="Consolas" w:cs="Consolas" w:eastAsia="Consolas" w:hAnsi="Consolas"/>
          <w:color w:val="B91C1C"/>
          <w:sz w:val="20"/>
          <w:szCs w:val="20"/>
        </w:rPr>
        <w:t xml:space="preserve">APP_DEBUG=true</w:t>
      </w:r>
      <w:r>
        <w:rPr>
          <w:sz w:val="20"/>
          <w:szCs w:val="20"/>
        </w:rPr>
        <w:t xml:space="preserve">  →  should be </w:t>
      </w:r>
      <w:r>
        <w:rPr>
          <w:rFonts w:ascii="Consolas" w:cs="Consolas" w:eastAsia="Consolas" w:hAnsi="Consolas"/>
          <w:color w:val="B91C1C"/>
          <w:sz w:val="20"/>
          <w:szCs w:val="20"/>
        </w:rPr>
        <w:t xml:space="preserve">false</w:t>
      </w:r>
    </w:p>
    <w:p>
      <w:pPr>
        <w:spacing w:after="80"/>
      </w:pPr>
      <w:r>
        <w:rPr>
          <w:rFonts w:ascii="Consolas" w:cs="Consolas" w:eastAsia="Consolas" w:hAnsi="Consolas"/>
          <w:color w:val="B91C1C"/>
          <w:sz w:val="20"/>
          <w:szCs w:val="20"/>
        </w:rPr>
        <w:t xml:space="preserve">QUEUE_CONNECTION=sync</w:t>
      </w:r>
      <w:r>
        <w:rPr>
          <w:sz w:val="20"/>
          <w:szCs w:val="20"/>
        </w:rPr>
        <w:t xml:space="preserve"> →  should be </w:t>
      </w:r>
      <w:r>
        <w:rPr>
          <w:rFonts w:ascii="Consolas" w:cs="Consolas" w:eastAsia="Consolas" w:hAnsi="Consolas"/>
          <w:color w:val="B91C1C"/>
          <w:sz w:val="20"/>
          <w:szCs w:val="20"/>
        </w:rPr>
        <w:t xml:space="preserve">redis</w:t>
      </w:r>
      <w:r>
        <w:rPr>
          <w:sz w:val="20"/>
          <w:szCs w:val="20"/>
        </w:rPr>
        <w:t xml:space="preserve"> (processed by Horizon)</w:t>
      </w:r>
    </w:p>
    <w:p>
      <w:pPr>
        <w:spacing w:after="80"/>
      </w:pPr>
      <w:r>
        <w:rPr>
          <w:rFonts w:ascii="Consolas" w:cs="Consolas" w:eastAsia="Consolas" w:hAnsi="Consolas"/>
          <w:color w:val="B91C1C"/>
          <w:sz w:val="20"/>
          <w:szCs w:val="20"/>
        </w:rPr>
        <w:t xml:space="preserve">SESSION_DRIVER=file</w:t>
      </w:r>
      <w:r>
        <w:rPr>
          <w:sz w:val="20"/>
          <w:szCs w:val="20"/>
        </w:rPr>
        <w:t xml:space="preserve">   →  should be </w:t>
      </w:r>
      <w:r>
        <w:rPr>
          <w:rFonts w:ascii="Consolas" w:cs="Consolas" w:eastAsia="Consolas" w:hAnsi="Consolas"/>
          <w:color w:val="B91C1C"/>
          <w:sz w:val="20"/>
          <w:szCs w:val="20"/>
        </w:rPr>
        <w:t xml:space="preserve">redis</w:t>
      </w:r>
    </w:p>
    <w:p>
      <w:pPr>
        <w:spacing w:after="200"/>
      </w:pPr>
      <w:r>
        <w:rPr>
          <w:rFonts w:ascii="Consolas" w:cs="Consolas" w:eastAsia="Consolas" w:hAnsi="Consolas"/>
          <w:color w:val="B91C1C"/>
          <w:sz w:val="20"/>
          <w:szCs w:val="20"/>
        </w:rPr>
        <w:t xml:space="preserve">MAIL_MAILER=log</w:t>
      </w:r>
      <w:r>
        <w:rPr>
          <w:sz w:val="20"/>
          <w:szCs w:val="20"/>
        </w:rPr>
        <w:t xml:space="preserve">      →  should be </w:t>
      </w:r>
      <w:r>
        <w:rPr>
          <w:rFonts w:ascii="Consolas" w:cs="Consolas" w:eastAsia="Consolas" w:hAnsi="Consolas"/>
          <w:color w:val="B91C1C"/>
          <w:sz w:val="20"/>
          <w:szCs w:val="20"/>
        </w:rPr>
        <w:t xml:space="preserve">postmark</w:t>
      </w:r>
      <w:r>
        <w:rPr>
          <w:sz w:val="20"/>
          <w:szCs w:val="20"/>
        </w:rPr>
        <w:t xml:space="preserve"> (customers currently get NO real emails — receipts, password resets, invoices all vanish into a log file)</w:t>
      </w:r>
    </w:p>
    <w:p>
      <w:pPr>
        <w:spacing w:after="160"/>
      </w:pPr>
      <w:r>
        <w:rPr>
          <w:b/>
          <w:bCs/>
        </w:rPr>
        <w:t xml:space="preserve">With APP_DEBUG=true, any unhandled error on the live site shows a full stack trace to the customer — file paths, SQL, config values, sometimes secrets. On a payments-and-accounting product this is a serious exposure the moment something breaks under real traffic tomorrow.</w:t>
      </w:r>
    </w:p>
    <w:p>
      <w:pPr>
        <w:spacing w:after="160"/>
      </w:pPr>
      <w:r>
        <w:t xml:space="preserve">The good news: someone already built the correct scaffold. .env.production.example (Phase 8) has the right shape — Redis cache/session/queue, Cloudflare R2 storage, Postmark mail, Slack error alerts, real DB name. This is a matter of actually using it, not designing it from scratch.</w:t>
      </w:r>
    </w:p>
    <w:p>
      <w:pPr>
        <w:pStyle w:val="Heading3"/>
      </w:pPr>
      <w:r>
        <w:t xml:space="preserve">Fix</w:t>
      </w:r>
    </w:p>
    <w:p>
      <w:pPr>
        <w:pStyle w:val="ListParagraph"/>
        <w:numPr>
          <w:ilvl w:val="0"/>
          <w:numId w:val="2"/>
        </w:numPr>
        <w:spacing w:after="80"/>
      </w:pPr>
      <w:r>
        <w:t xml:space="preserve">On the production server, copy .env.production.example to .env and fill in every blank value (DB password, Redis password, R2 keys, Postmark token, Lemon Squeezy keys — see 0.2).</w:t>
      </w:r>
    </w:p>
    <w:p>
      <w:pPr>
        <w:pStyle w:val="ListParagraph"/>
        <w:numPr>
          <w:ilvl w:val="0"/>
          <w:numId w:val="2"/>
        </w:numPr>
        <w:spacing w:after="80"/>
      </w:pPr>
      <w:r>
        <w:t xml:space="preserve">Confirm APP_ENV=production, APP_DEBUG=false, and run php artisan config:cache after.</w:t>
      </w:r>
    </w:p>
    <w:p>
      <w:pPr>
        <w:pStyle w:val="ListParagraph"/>
        <w:numPr>
          <w:ilvl w:val="0"/>
          <w:numId w:val="2"/>
        </w:numPr>
        <w:spacing w:after="80"/>
      </w:pPr>
      <w:r>
        <w:t xml:space="preserve">Do NOT simply copy today's local .env to the server — it has debug mode on and points at local infrastructure.</w:t>
      </w:r>
    </w:p>
    <w:p>
      <w:pPr>
        <w:pStyle w:val="ListParagraph"/>
        <w:numPr>
          <w:ilvl w:val="0"/>
          <w:numId w:val="2"/>
        </w:numPr>
        <w:spacing w:after="80"/>
      </w:pPr>
      <w:r>
        <w:t xml:space="preserve">Run php artisan optimize:clear then php artisan optimize on the production box once .env is correct.</w:t>
      </w:r>
    </w:p>
    <w:p>
      <w:pPr>
        <w:pStyle w:val="Heading2"/>
      </w:pPr>
      <w:r>
        <w:t xml:space="preserve">0.2 — Real Lemon Squeezy credentials are sitting in a "local" .env</w:t>
      </w:r>
    </w:p>
    <w:p>
      <w:pPr>
        <w:spacing w:after="120"/>
      </w:pPr>
      <w:r>
        <w:rPr>
          <w:b/>
          <w:bCs/>
          <w:color w:val="FFFFFF"/>
          <w:shd w:fill="C0392B" w:val="clear"/>
        </w:rPr>
        <w:t xml:space="preserve">  CRITICAL — BILLING RISK  </w:t>
      </w:r>
    </w:p>
    <w:p>
      <w:pPr>
        <w:spacing w:after="160"/>
      </w:pPr>
      <w:r>
        <w:t xml:space="preserve">The local .env already contains what look like live, working values: LEMON_SQUEEZY_API_KEY (a full JWT), STORE_ID (352742), SIGNING_SECRET, and every plan/add-on variant ID (Starter/Growth/Business, monthly, annual, and LTD) plus checkout URLs pointing at venqore.lemonsqueezy.com.</w:t>
      </w:r>
    </w:p>
    <w:p>
      <w:pPr>
        <w:spacing w:after="160"/>
      </w:pPr>
      <w:r>
        <w:t xml:space="preserve">Before launch, confirm directly in the Lemon Squeezy dashboard (Settings → General) whether the store is in Test Mode or Live Mode. If Test Mode, real customer credit cards will not be charged tomorrow and every "sale" will be fake. If Live Mode, then the exact opposite risk applies: every purchase and webhook test you run from here forward charges a real card and fires real webhooks — do all remaining verification (0.3, Tier 1 billing tests) with a card you intend to refund, and refund/cancel test subscriptions immediately after confirming they work.</w:t>
      </w:r>
    </w:p>
    <w:p>
      <w:pPr>
        <w:pStyle w:val="Heading3"/>
      </w:pPr>
      <w:r>
        <w:t xml:space="preserve">Fix</w:t>
      </w:r>
    </w:p>
    <w:p>
      <w:pPr>
        <w:pStyle w:val="ListParagraph"/>
        <w:numPr>
          <w:ilvl w:val="0"/>
          <w:numId w:val="2"/>
        </w:numPr>
        <w:spacing w:after="80"/>
      </w:pPr>
      <w:r>
        <w:t xml:space="preserve">Log into app.lemonsqueezy.com → confirm Test/Live mode toggle state before doing anything else tonight.</w:t>
      </w:r>
    </w:p>
    <w:p>
      <w:pPr>
        <w:pStyle w:val="ListParagraph"/>
        <w:numPr>
          <w:ilvl w:val="0"/>
          <w:numId w:val="2"/>
        </w:numPr>
        <w:spacing w:after="80"/>
      </w:pPr>
      <w:r>
        <w:t xml:space="preserve">Confirm the webhook endpoint URL registered in Lemon Squeezy points at the production domain (https://venqore.com/...), not localhost or a staging URL.</w:t>
      </w:r>
    </w:p>
    <w:p>
      <w:pPr>
        <w:pStyle w:val="ListParagraph"/>
        <w:numPr>
          <w:ilvl w:val="0"/>
          <w:numId w:val="2"/>
        </w:numPr>
        <w:spacing w:after="80"/>
      </w:pPr>
      <w:r>
        <w:t xml:space="preserve">Confirm LEMON_SQUEEZY_SIGNING_SECRET in the server's .env matches exactly what Lemon Squeezy shows for that webhook — a mismatch silently drops every payment confirmation.</w:t>
      </w:r>
    </w:p>
    <w:p>
      <w:pPr>
        <w:pStyle w:val="Heading2"/>
      </w:pPr>
      <w:r>
        <w:t xml:space="preserve">0.3 — Demo/seed data must never touch the production database</w:t>
      </w:r>
    </w:p>
    <w:p>
      <w:pPr>
        <w:spacing w:after="120"/>
      </w:pPr>
      <w:r>
        <w:rPr>
          <w:b/>
          <w:bCs/>
          <w:color w:val="FFFFFF"/>
          <w:shd w:fill="C0392B" w:val="clear"/>
        </w:rPr>
        <w:t xml:space="preserve">  CRITICAL — DATA INTEGRITY  </w:t>
      </w:r>
    </w:p>
    <w:p>
      <w:pPr>
        <w:spacing w:after="160"/>
      </w:pPr>
      <w:r>
        <w:t xml:space="preserve">Good news first: DatabaseSeeder.php has already been deliberately cleaned — the comment at line 34 reads "DEMO DATA REMOVED FOR CLEAN SLATE," and it no longer seeds demo Products/Recipes/Stock/Parties by default. That part is done correctly.</w:t>
      </w:r>
    </w:p>
    <w:p>
      <w:pPr>
        <w:spacing w:after="160"/>
      </w:pPr>
      <w:r>
        <w:t xml:space="preserve">But the demo/test seeder classes still exist in the codebase and must not be run against venqore_pos in production: SuperDemoSeeder, DemoStoreSeeder, DemoDataSeeder, DemoMasterSeeder, TenantZeroSeeder. These are fine for the sales-demo/trial-store environment; they must never be pointed at the real tenant database.</w:t>
      </w:r>
    </w:p>
    <w:p>
      <w:pPr>
        <w:pStyle w:val="Heading3"/>
      </w:pPr>
      <w:r>
        <w:t xml:space="preserve">Fix</w:t>
      </w:r>
    </w:p>
    <w:p>
      <w:pPr>
        <w:pStyle w:val="ListParagraph"/>
        <w:numPr>
          <w:ilvl w:val="0"/>
          <w:numId w:val="2"/>
        </w:numPr>
        <w:spacing w:after="80"/>
      </w:pPr>
      <w:r>
        <w:t xml:space="preserve">On the production server, run migrations only: php artisan migrate --force. Do not run php artisan migrate:fresh --seed or db:seed against production — both are explicitly banned in CLAUDE.md for the venqore_pos database.</w:t>
      </w:r>
    </w:p>
    <w:p>
      <w:pPr>
        <w:pStyle w:val="ListParagraph"/>
        <w:numPr>
          <w:ilvl w:val="0"/>
          <w:numId w:val="2"/>
        </w:numPr>
        <w:spacing w:after="80"/>
      </w:pPr>
      <w:r>
        <w:t xml:space="preserve">Confirm no demo tenant, demo user, or demo product rows exist in the production DB before opening signups (SELECT * FROM tenants WHERE name LIKE '%demo%' or similar sanity check).</w:t>
      </w:r>
    </w:p>
    <w:p>
      <w:pPr>
        <w:pStyle w:val="ListParagraph"/>
        <w:numPr>
          <w:ilvl w:val="0"/>
          <w:numId w:val="2"/>
        </w:numPr>
        <w:spacing w:after="80"/>
      </w:pPr>
      <w:r>
        <w:t xml:space="preserve">Keep the AdminUserSeeder / installer flow as the only path that creates the first real platform admin — CLAUDE.md confirms first web registration becomes the primary owner, which is correct and should stay untouched.</w:t>
      </w:r>
    </w:p>
    <w:p>
      <w:pPr>
        <w:pStyle w:val="ListParagraph"/>
        <w:numPr>
          <w:ilvl w:val="0"/>
          <w:numId w:val="2"/>
        </w:numPr>
        <w:spacing w:after="80"/>
      </w:pPr>
      <w:r>
        <w:t xml:space="preserve">If a public demo store is wanted for prospects to click around in, seed it in a clearly separate tenant/subdomain, never in the same DB row space customers will transact in.</w:t>
      </w:r>
    </w:p>
    <w:p>
      <w:r>
        <w:br w:type="page"/>
      </w:r>
    </w:p>
    <w:p>
      <w:pPr>
        <w:pStyle w:val="Heading1"/>
      </w:pPr>
      <w:r>
        <w:t xml:space="preserve">Tier 1 — Bare Minimum Before Selling (tonight)</w:t>
      </w:r>
    </w:p>
    <w:p>
      <w:pPr>
        <w:spacing w:after="160"/>
      </w:pPr>
      <w:r>
        <w:t xml:space="preserve">This is Phase 1 from the master roadmap, verified against the live code today. Nothing here is a redesign — it's making the pricing page, the billing chain, and a few security items tell the truth. Roadmap estimate: 1.5–2 days of mostly manual verification; the code fixes themselves are hours.</w:t>
      </w:r>
    </w:p>
    <w:p>
      <w:pPr>
        <w:pStyle w:val="Heading2"/>
      </w:pPr>
      <w:r>
        <w:t xml:space="preserve">1.1 — Pricing page promises features Starter customers don't get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100"/>
        <w:gridCol w:w="1000"/>
        <w:gridCol w:w="4300"/>
        <w:gridCol w:w="2400"/>
        <w:gridCol w:w="1280"/>
      </w:tblGrid>
      <w:tr>
        <w:trPr>
          <w:tblHeader/>
        </w:trPr>
        <w:tc>
          <w:tcPr>
            <w:tcW w:type="dxa" w:w="1100"/>
            <w:tcBorders>
              <w:top w:val="single" w:color="D1D5DB" w:sz="1"/>
              <w:left w:val="single" w:color="D1D5DB" w:sz="1"/>
              <w:bottom w:val="single" w:color="D1D5DB" w:sz="1"/>
              <w:right w:val="single" w:color="D1D5DB" w:sz="1"/>
            </w:tcBorders>
            <w:shd w:fill="1F2937" w:val="clear"/>
            <w:tcMar>
              <w:top w:type="dxa" w:w="80"/>
              <w:left w:type="dxa" w:w="100"/>
              <w:bottom w:type="dxa" w:w="80"/>
              <w:right w:type="dxa" w:w="100"/>
            </w:tcMar>
          </w:tcPr>
          <w:p>
            <w:r>
              <w:rPr>
                <w:b/>
                <w:bCs/>
                <w:color w:val="FFFFFF"/>
                <w:sz w:val="19"/>
                <w:szCs w:val="19"/>
              </w:rPr>
              <w:t xml:space="preserve">ID</w:t>
            </w:r>
          </w:p>
        </w:tc>
        <w:tc>
          <w:tcPr>
            <w:tcW w:type="dxa" w:w="1000"/>
            <w:tcBorders>
              <w:top w:val="single" w:color="D1D5DB" w:sz="1"/>
              <w:left w:val="single" w:color="D1D5DB" w:sz="1"/>
              <w:bottom w:val="single" w:color="D1D5DB" w:sz="1"/>
              <w:right w:val="single" w:color="D1D5DB" w:sz="1"/>
            </w:tcBorders>
            <w:shd w:fill="1F2937" w:val="clear"/>
            <w:tcMar>
              <w:top w:type="dxa" w:w="80"/>
              <w:left w:type="dxa" w:w="100"/>
              <w:bottom w:type="dxa" w:w="80"/>
              <w:right w:type="dxa" w:w="100"/>
            </w:tcMar>
          </w:tcPr>
          <w:p>
            <w:r>
              <w:rPr>
                <w:b/>
                <w:bCs/>
                <w:color w:val="FFFFFF"/>
                <w:sz w:val="19"/>
                <w:szCs w:val="19"/>
              </w:rPr>
              <w:t xml:space="preserve">Sev</w:t>
            </w:r>
          </w:p>
        </w:tc>
        <w:tc>
          <w:tcPr>
            <w:tcW w:type="dxa" w:w="4300"/>
            <w:tcBorders>
              <w:top w:val="single" w:color="D1D5DB" w:sz="1"/>
              <w:left w:val="single" w:color="D1D5DB" w:sz="1"/>
              <w:bottom w:val="single" w:color="D1D5DB" w:sz="1"/>
              <w:right w:val="single" w:color="D1D5DB" w:sz="1"/>
            </w:tcBorders>
            <w:shd w:fill="1F2937" w:val="clear"/>
            <w:tcMar>
              <w:top w:type="dxa" w:w="80"/>
              <w:left w:type="dxa" w:w="100"/>
              <w:bottom w:type="dxa" w:w="80"/>
              <w:right w:type="dxa" w:w="100"/>
            </w:tcMar>
          </w:tcPr>
          <w:p>
            <w:r>
              <w:rPr>
                <w:b/>
                <w:bCs/>
                <w:color w:val="FFFFFF"/>
                <w:sz w:val="19"/>
                <w:szCs w:val="19"/>
              </w:rPr>
              <w:t xml:space="preserve">Issue</w:t>
            </w:r>
          </w:p>
        </w:tc>
        <w:tc>
          <w:tcPr>
            <w:tcW w:type="dxa" w:w="2400"/>
            <w:tcBorders>
              <w:top w:val="single" w:color="D1D5DB" w:sz="1"/>
              <w:left w:val="single" w:color="D1D5DB" w:sz="1"/>
              <w:bottom w:val="single" w:color="D1D5DB" w:sz="1"/>
              <w:right w:val="single" w:color="D1D5DB" w:sz="1"/>
            </w:tcBorders>
            <w:shd w:fill="1F2937" w:val="clear"/>
            <w:tcMar>
              <w:top w:type="dxa" w:w="80"/>
              <w:left w:type="dxa" w:w="100"/>
              <w:bottom w:type="dxa" w:w="80"/>
              <w:right w:type="dxa" w:w="100"/>
            </w:tcMar>
          </w:tcPr>
          <w:p>
            <w:r>
              <w:rPr>
                <w:b/>
                <w:bCs/>
                <w:color w:val="FFFFFF"/>
                <w:sz w:val="19"/>
                <w:szCs w:val="19"/>
              </w:rPr>
              <w:t xml:space="preserve">Where</w:t>
            </w:r>
          </w:p>
        </w:tc>
        <w:tc>
          <w:tcPr>
            <w:tcW w:type="dxa" w:w="1280"/>
            <w:tcBorders>
              <w:top w:val="single" w:color="D1D5DB" w:sz="1"/>
              <w:left w:val="single" w:color="D1D5DB" w:sz="1"/>
              <w:bottom w:val="single" w:color="D1D5DB" w:sz="1"/>
              <w:right w:val="single" w:color="D1D5DB" w:sz="1"/>
            </w:tcBorders>
            <w:shd w:fill="1F2937" w:val="clear"/>
            <w:tcMar>
              <w:top w:type="dxa" w:w="80"/>
              <w:left w:type="dxa" w:w="100"/>
              <w:bottom w:type="dxa" w:w="80"/>
              <w:right w:type="dxa" w:w="100"/>
            </w:tcMar>
          </w:tcPr>
          <w:p>
            <w:r>
              <w:rPr>
                <w:b/>
                <w:bCs/>
                <w:color w:val="FFFFFF"/>
                <w:sz w:val="19"/>
                <w:szCs w:val="19"/>
              </w:rPr>
              <w:t xml:space="preserve">Fix</w:t>
            </w:r>
          </w:p>
        </w:tc>
      </w:tr>
      <w:tr>
        <w:tc>
          <w:tcPr>
            <w:tcW w:type="dxa" w:w="11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sz w:val="19"/>
                <w:szCs w:val="19"/>
              </w:rPr>
              <w:t xml:space="preserve">VNQ-010</w:t>
            </w:r>
          </w:p>
        </w:tc>
        <w:tc>
          <w:tcPr>
            <w:tcW w:type="dxa" w:w="10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b/>
                <w:bCs/>
                <w:color w:val="C0392B"/>
                <w:sz w:val="19"/>
                <w:szCs w:val="19"/>
              </w:rPr>
              <w:t xml:space="preserve">CRITICAL</w:t>
            </w:r>
          </w:p>
        </w:tc>
        <w:tc>
          <w:tcPr>
            <w:tcW w:type="dxa" w:w="43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sz w:val="19"/>
                <w:szCs w:val="19"/>
              </w:rPr>
              <w:t xml:space="preserve">Pricing table shows Profit &amp; Loss and Bank Reconciliation as included for Starter</w:t>
            </w:r>
          </w:p>
        </w:tc>
        <w:tc>
          <w:tcPr>
            <w:tcW w:type="dxa" w:w="24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sz w:val="19"/>
                <w:szCs w:val="19"/>
              </w:rPr>
              <w:t xml:space="preserve">Pricing.jsx (comparison table rows) vs PlanFeatureMatrixSeeder.php lines 188 &amp; 215 — both confirmed today: report_profit_loss and bank_reconciliation are '0' for starter</w:t>
            </w:r>
          </w:p>
        </w:tc>
        <w:tc>
          <w:tcPr>
            <w:tcW w:type="dxa" w:w="12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sz w:val="19"/>
                <w:szCs w:val="19"/>
              </w:rPr>
              <w:t xml:space="preserve">Correct the two table rows to show Starter = not included, or flip the seeder if Starter should actually get them — then re-seed</w:t>
            </w:r>
          </w:p>
        </w:tc>
      </w:tr>
      <w:tr>
        <w:tc>
          <w:tcPr>
            <w:tcW w:type="dxa" w:w="110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sz w:val="19"/>
                <w:szCs w:val="19"/>
              </w:rPr>
              <w:t xml:space="preserve">VNQ-013</w:t>
            </w:r>
          </w:p>
        </w:tc>
        <w:tc>
          <w:tcPr>
            <w:tcW w:type="dxa" w:w="100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b/>
                <w:bCs/>
                <w:color w:val="2563EB"/>
                <w:sz w:val="19"/>
                <w:szCs w:val="19"/>
              </w:rPr>
              <w:t xml:space="preserve">MEDIUM</w:t>
            </w:r>
          </w:p>
        </w:tc>
        <w:tc>
          <w:tcPr>
            <w:tcW w:type="dxa" w:w="430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sz w:val="19"/>
                <w:szCs w:val="19"/>
              </w:rPr>
              <w:t xml:space="preserve">Cash Flow shown as Growth+ only, but seeder gives it to Starter too (harmless direction, but proves the table was hand-typed, not generated)</w:t>
            </w:r>
          </w:p>
        </w:tc>
        <w:tc>
          <w:tcPr>
            <w:tcW w:type="dxa" w:w="240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sz w:val="19"/>
                <w:szCs w:val="19"/>
              </w:rPr>
              <w:t xml:space="preserve">Pricing.jsx vs Seeder line ~204</w:t>
            </w:r>
          </w:p>
        </w:tc>
        <w:tc>
          <w:tcPr>
            <w:tcW w:type="dxa" w:w="128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sz w:val="19"/>
                <w:szCs w:val="19"/>
              </w:rPr>
              <w:t xml:space="preserve">Fix the row; long-term generate the whole table from plan_limits (VNQ-015)</w:t>
            </w:r>
          </w:p>
        </w:tc>
      </w:tr>
      <w:tr>
        <w:tc>
          <w:tcPr>
            <w:tcW w:type="dxa" w:w="11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sz w:val="19"/>
                <w:szCs w:val="19"/>
              </w:rPr>
              <w:t xml:space="preserve">VNQ-011</w:t>
            </w:r>
          </w:p>
        </w:tc>
        <w:tc>
          <w:tcPr>
            <w:tcW w:type="dxa" w:w="10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b/>
                <w:bCs/>
                <w:color w:val="C0392B"/>
                <w:sz w:val="19"/>
                <w:szCs w:val="19"/>
              </w:rPr>
              <w:t xml:space="preserve">CRITICAL</w:t>
            </w:r>
          </w:p>
        </w:tc>
        <w:tc>
          <w:tcPr>
            <w:tcW w:type="dxa" w:w="43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sz w:val="19"/>
                <w:szCs w:val="19"/>
              </w:rPr>
              <w:t xml:space="preserve">config/plans.php header literally claims to be "the single source of truth" that PlanGate reads — confirmed false: PlanGate reads plan_limits (written by the seeder), and the two disagree on SKU/staff/location caps</w:t>
            </w:r>
          </w:p>
        </w:tc>
        <w:tc>
          <w:tcPr>
            <w:tcW w:type="dxa" w:w="24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sz w:val="19"/>
                <w:szCs w:val="19"/>
              </w:rPr>
              <w:t xml:space="preserve">config/plans.php lines 3-9 (comment still present today)</w:t>
            </w:r>
          </w:p>
        </w:tc>
        <w:tc>
          <w:tcPr>
            <w:tcW w:type="dxa" w:w="12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sz w:val="19"/>
                <w:szCs w:val="19"/>
              </w:rPr>
              <w:t xml:space="preserve">Either delete config/plans.php and read plan_limits everywhere, or edit it to mirror the seeder exactly and fix the misleading comment</w:t>
            </w:r>
          </w:p>
        </w:tc>
      </w:tr>
      <w:tr>
        <w:tc>
          <w:tcPr>
            <w:tcW w:type="dxa" w:w="110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sz w:val="19"/>
                <w:szCs w:val="19"/>
              </w:rPr>
              <w:t xml:space="preserve">VNQ-012</w:t>
            </w:r>
          </w:p>
        </w:tc>
        <w:tc>
          <w:tcPr>
            <w:tcW w:type="dxa" w:w="100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b/>
                <w:bCs/>
                <w:color w:val="D97706"/>
                <w:sz w:val="19"/>
                <w:szCs w:val="19"/>
              </w:rPr>
              <w:t xml:space="preserve">HIGH</w:t>
            </w:r>
          </w:p>
        </w:tc>
        <w:tc>
          <w:tcPr>
            <w:tcW w:type="dxa" w:w="430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sz w:val="19"/>
                <w:szCs w:val="19"/>
              </w:rPr>
              <w:t xml:space="preserve">transactions_per_month is null (unlimited) for trial/starter/growth/business in the seeder — confirmed today at line 259 — while config claims real caps. The monthly transaction limit does nothing for any subscriber</w:t>
            </w:r>
          </w:p>
        </w:tc>
        <w:tc>
          <w:tcPr>
            <w:tcW w:type="dxa" w:w="240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sz w:val="19"/>
                <w:szCs w:val="19"/>
              </w:rPr>
              <w:t xml:space="preserve">PlanFeatureMatrixSeeder.php line 259</w:t>
            </w:r>
          </w:p>
        </w:tc>
        <w:tc>
          <w:tcPr>
            <w:tcW w:type="dxa" w:w="128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sz w:val="19"/>
                <w:szCs w:val="19"/>
              </w:rPr>
              <w:t xml:space="preserve">Decide the real caps, set them in the seeder, re-seed plan_limits, add a test that the cap actually fires</w:t>
            </w:r>
          </w:p>
        </w:tc>
      </w:tr>
    </w:tbl>
    <w:p>
      <w:pPr>
        <w:pStyle w:val="Heading2"/>
      </w:pPr>
      <w:r>
        <w:t xml:space="preserve">1.2 — Prove the things customers pay extra for actually unlock</w:t>
      </w:r>
    </w:p>
    <w:p>
      <w:pPr>
        <w:spacing w:after="160"/>
      </w:pPr>
      <w:r>
        <w:t xml:space="preserve">This is the single highest financial risk in the whole launch: a customer pays for WooCommerce sync or an AI add-on, and the toggle doesn't flip the right backend flag. Confirmed today: every WooCommerce/Amazon/eBay/TikTok flag and every AI flag (ai_assistant, smart_capture, growth_engine, ai_churn_predictions, etc.) defaults to 0 across all plans in the seeder. The add-on purchase flow is supposed to write a per-tenant override, but this codebase has a documented history of exactly this kind of key-name mismatch (the audit cites a wrong-account tax bug and a gate checking the wrong flag name for recurring invoices as prior examples).</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1100"/>
        <w:gridCol w:w="1000"/>
        <w:gridCol w:w="6980"/>
      </w:tblGrid>
      <w:tr>
        <w:trPr>
          <w:tblHeader/>
        </w:trPr>
        <w:tc>
          <w:tcPr>
            <w:tcW w:type="dxa" w:w="1100"/>
            <w:tcBorders>
              <w:top w:val="single" w:color="D1D5DB" w:sz="1"/>
              <w:left w:val="single" w:color="D1D5DB" w:sz="1"/>
              <w:bottom w:val="single" w:color="D1D5DB" w:sz="1"/>
              <w:right w:val="single" w:color="D1D5DB" w:sz="1"/>
            </w:tcBorders>
            <w:shd w:fill="1F2937" w:val="clear"/>
            <w:tcMar>
              <w:top w:type="dxa" w:w="80"/>
              <w:left w:type="dxa" w:w="100"/>
              <w:bottom w:type="dxa" w:w="80"/>
              <w:right w:type="dxa" w:w="100"/>
            </w:tcMar>
          </w:tcPr>
          <w:p>
            <w:r>
              <w:rPr>
                <w:b/>
                <w:bCs/>
                <w:color w:val="FFFFFF"/>
                <w:sz w:val="19"/>
                <w:szCs w:val="19"/>
              </w:rPr>
              <w:t xml:space="preserve">ID</w:t>
            </w:r>
          </w:p>
        </w:tc>
        <w:tc>
          <w:tcPr>
            <w:tcW w:type="dxa" w:w="1000"/>
            <w:tcBorders>
              <w:top w:val="single" w:color="D1D5DB" w:sz="1"/>
              <w:left w:val="single" w:color="D1D5DB" w:sz="1"/>
              <w:bottom w:val="single" w:color="D1D5DB" w:sz="1"/>
              <w:right w:val="single" w:color="D1D5DB" w:sz="1"/>
            </w:tcBorders>
            <w:shd w:fill="1F2937" w:val="clear"/>
            <w:tcMar>
              <w:top w:type="dxa" w:w="80"/>
              <w:left w:type="dxa" w:w="100"/>
              <w:bottom w:type="dxa" w:w="80"/>
              <w:right w:type="dxa" w:w="100"/>
            </w:tcMar>
          </w:tcPr>
          <w:p>
            <w:r>
              <w:rPr>
                <w:b/>
                <w:bCs/>
                <w:color w:val="FFFFFF"/>
                <w:sz w:val="19"/>
                <w:szCs w:val="19"/>
              </w:rPr>
              <w:t xml:space="preserve">Sev</w:t>
            </w:r>
          </w:p>
        </w:tc>
        <w:tc>
          <w:tcPr>
            <w:tcW w:type="dxa" w:w="6980"/>
            <w:tcBorders>
              <w:top w:val="single" w:color="D1D5DB" w:sz="1"/>
              <w:left w:val="single" w:color="D1D5DB" w:sz="1"/>
              <w:bottom w:val="single" w:color="D1D5DB" w:sz="1"/>
              <w:right w:val="single" w:color="D1D5DB" w:sz="1"/>
            </w:tcBorders>
            <w:shd w:fill="1F2937" w:val="clear"/>
            <w:tcMar>
              <w:top w:type="dxa" w:w="80"/>
              <w:left w:type="dxa" w:w="100"/>
              <w:bottom w:type="dxa" w:w="80"/>
              <w:right w:type="dxa" w:w="100"/>
            </w:tcMar>
          </w:tcPr>
          <w:p>
            <w:r>
              <w:rPr>
                <w:b/>
                <w:bCs/>
                <w:color w:val="FFFFFF"/>
                <w:sz w:val="19"/>
                <w:szCs w:val="19"/>
              </w:rPr>
              <w:t xml:space="preserve">Test to run tonight</w:t>
            </w:r>
          </w:p>
        </w:tc>
      </w:tr>
      <w:tr>
        <w:tc>
          <w:tcPr>
            <w:tcW w:type="dxa" w:w="11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sz w:val="19"/>
                <w:szCs w:val="19"/>
              </w:rPr>
              <w:t xml:space="preserve">VNQ-018</w:t>
            </w:r>
          </w:p>
        </w:tc>
        <w:tc>
          <w:tcPr>
            <w:tcW w:type="dxa" w:w="10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b/>
                <w:bCs/>
                <w:color w:val="C0392B"/>
                <w:sz w:val="19"/>
                <w:szCs w:val="19"/>
              </w:rPr>
              <w:t xml:space="preserve">CRITICAL</w:t>
            </w:r>
          </w:p>
        </w:tc>
        <w:tc>
          <w:tcPr>
            <w:tcW w:type="dxa" w:w="69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sz w:val="19"/>
                <w:szCs w:val="19"/>
              </w:rPr>
              <w:t xml:space="preserve">Buy the WooCommerce add-on as a real (refundable) test purchase → confirm /woo/connections (or the gated route) returns 200, not 403, immediately after webhook processes</w:t>
            </w:r>
          </w:p>
        </w:tc>
      </w:tr>
      <w:tr>
        <w:tc>
          <w:tcPr>
            <w:tcW w:type="dxa" w:w="110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sz w:val="19"/>
                <w:szCs w:val="19"/>
              </w:rPr>
              <w:t xml:space="preserve">VNQ-019</w:t>
            </w:r>
          </w:p>
        </w:tc>
        <w:tc>
          <w:tcPr>
            <w:tcW w:type="dxa" w:w="100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b/>
                <w:bCs/>
                <w:color w:val="C0392B"/>
                <w:sz w:val="19"/>
                <w:szCs w:val="19"/>
              </w:rPr>
              <w:t xml:space="preserve">CRITICAL</w:t>
            </w:r>
          </w:p>
        </w:tc>
        <w:tc>
          <w:tcPr>
            <w:tcW w:type="dxa" w:w="698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sz w:val="19"/>
                <w:szCs w:val="19"/>
              </w:rPr>
              <w:t xml:space="preserve">Buy one AI add-on tier the same way → confirm the ai_assistant / relevant flag actually flips true on that tenant and the gated page unlocks</w:t>
            </w:r>
          </w:p>
        </w:tc>
      </w:tr>
      <w:tr>
        <w:tc>
          <w:tcPr>
            <w:tcW w:type="dxa" w:w="11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sz w:val="19"/>
                <w:szCs w:val="19"/>
              </w:rPr>
              <w:t xml:space="preserve">VNQ-020</w:t>
            </w:r>
          </w:p>
        </w:tc>
        <w:tc>
          <w:tcPr>
            <w:tcW w:type="dxa" w:w="10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b/>
                <w:bCs/>
                <w:color w:val="2563EB"/>
                <w:sz w:val="19"/>
                <w:szCs w:val="19"/>
              </w:rPr>
              <w:t xml:space="preserve">MEDIUM</w:t>
            </w:r>
          </w:p>
        </w:tc>
        <w:tc>
          <w:tcPr>
            <w:tcW w:type="dxa" w:w="69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sz w:val="19"/>
                <w:szCs w:val="19"/>
              </w:rPr>
              <w:t xml:space="preserve">Loyalty/Gift Cards: routes exist and are advertised for Enterprise, but live under the growth_engine flag which is 0 on every plan — confirm which key actually gates GrowthEngineController; if it's growth_engine, this is locked for every plan including the top tier, contradicting the pricing page</w:t>
            </w:r>
          </w:p>
        </w:tc>
      </w:tr>
      <w:tr>
        <w:tc>
          <w:tcPr>
            <w:tcW w:type="dxa" w:w="110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sz w:val="19"/>
                <w:szCs w:val="19"/>
              </w:rPr>
              <w:t xml:space="preserve">VNQ-120</w:t>
            </w:r>
          </w:p>
        </w:tc>
        <w:tc>
          <w:tcPr>
            <w:tcW w:type="dxa" w:w="100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b/>
                <w:bCs/>
                <w:color w:val="C0392B"/>
                <w:sz w:val="19"/>
                <w:szCs w:val="19"/>
              </w:rPr>
              <w:t xml:space="preserve">CRITICAL</w:t>
            </w:r>
          </w:p>
        </w:tc>
        <w:tc>
          <w:tcPr>
            <w:tcW w:type="dxa" w:w="698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sz w:val="19"/>
                <w:szCs w:val="19"/>
              </w:rPr>
              <w:t xml:space="preserve">Full Lemon Squeezy purchase chain, end to end, on a real (refundable) card: checkout → webhook received → signature verified → plan_limits updated → feature gate reflects it within seconds</w:t>
            </w:r>
          </w:p>
        </w:tc>
      </w:tr>
    </w:tbl>
    <w:p>
      <w:pPr>
        <w:pStyle w:val="Heading2"/>
      </w:pPr>
      <w:r>
        <w:t xml:space="preserve">1.3 — Numbers that contradict each other across customer-facing pages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100"/>
        <w:gridCol w:w="1000"/>
        <w:gridCol w:w="4400"/>
        <w:gridCol w:w="3580"/>
      </w:tblGrid>
      <w:tr>
        <w:trPr>
          <w:tblHeader/>
        </w:trPr>
        <w:tc>
          <w:tcPr>
            <w:tcW w:type="dxa" w:w="1100"/>
            <w:tcBorders>
              <w:top w:val="single" w:color="D1D5DB" w:sz="1"/>
              <w:left w:val="single" w:color="D1D5DB" w:sz="1"/>
              <w:bottom w:val="single" w:color="D1D5DB" w:sz="1"/>
              <w:right w:val="single" w:color="D1D5DB" w:sz="1"/>
            </w:tcBorders>
            <w:shd w:fill="1F2937" w:val="clear"/>
            <w:tcMar>
              <w:top w:type="dxa" w:w="80"/>
              <w:left w:type="dxa" w:w="100"/>
              <w:bottom w:type="dxa" w:w="80"/>
              <w:right w:type="dxa" w:w="100"/>
            </w:tcMar>
          </w:tcPr>
          <w:p>
            <w:r>
              <w:rPr>
                <w:b/>
                <w:bCs/>
                <w:color w:val="FFFFFF"/>
                <w:sz w:val="19"/>
                <w:szCs w:val="19"/>
              </w:rPr>
              <w:t xml:space="preserve">ID</w:t>
            </w:r>
          </w:p>
        </w:tc>
        <w:tc>
          <w:tcPr>
            <w:tcW w:type="dxa" w:w="1000"/>
            <w:tcBorders>
              <w:top w:val="single" w:color="D1D5DB" w:sz="1"/>
              <w:left w:val="single" w:color="D1D5DB" w:sz="1"/>
              <w:bottom w:val="single" w:color="D1D5DB" w:sz="1"/>
              <w:right w:val="single" w:color="D1D5DB" w:sz="1"/>
            </w:tcBorders>
            <w:shd w:fill="1F2937" w:val="clear"/>
            <w:tcMar>
              <w:top w:type="dxa" w:w="80"/>
              <w:left w:type="dxa" w:w="100"/>
              <w:bottom w:type="dxa" w:w="80"/>
              <w:right w:type="dxa" w:w="100"/>
            </w:tcMar>
          </w:tcPr>
          <w:p>
            <w:r>
              <w:rPr>
                <w:b/>
                <w:bCs/>
                <w:color w:val="FFFFFF"/>
                <w:sz w:val="19"/>
                <w:szCs w:val="19"/>
              </w:rPr>
              <w:t xml:space="preserve">Sev</w:t>
            </w:r>
          </w:p>
        </w:tc>
        <w:tc>
          <w:tcPr>
            <w:tcW w:type="dxa" w:w="4400"/>
            <w:tcBorders>
              <w:top w:val="single" w:color="D1D5DB" w:sz="1"/>
              <w:left w:val="single" w:color="D1D5DB" w:sz="1"/>
              <w:bottom w:val="single" w:color="D1D5DB" w:sz="1"/>
              <w:right w:val="single" w:color="D1D5DB" w:sz="1"/>
            </w:tcBorders>
            <w:shd w:fill="1F2937" w:val="clear"/>
            <w:tcMar>
              <w:top w:type="dxa" w:w="80"/>
              <w:left w:type="dxa" w:w="100"/>
              <w:bottom w:type="dxa" w:w="80"/>
              <w:right w:type="dxa" w:w="100"/>
            </w:tcMar>
          </w:tcPr>
          <w:p>
            <w:r>
              <w:rPr>
                <w:b/>
                <w:bCs/>
                <w:color w:val="FFFFFF"/>
                <w:sz w:val="19"/>
                <w:szCs w:val="19"/>
              </w:rPr>
              <w:t xml:space="preserve">Issue</w:t>
            </w:r>
          </w:p>
        </w:tc>
        <w:tc>
          <w:tcPr>
            <w:tcW w:type="dxa" w:w="3580"/>
            <w:tcBorders>
              <w:top w:val="single" w:color="D1D5DB" w:sz="1"/>
              <w:left w:val="single" w:color="D1D5DB" w:sz="1"/>
              <w:bottom w:val="single" w:color="D1D5DB" w:sz="1"/>
              <w:right w:val="single" w:color="D1D5DB" w:sz="1"/>
            </w:tcBorders>
            <w:shd w:fill="1F2937" w:val="clear"/>
            <w:tcMar>
              <w:top w:type="dxa" w:w="80"/>
              <w:left w:type="dxa" w:w="100"/>
              <w:bottom w:type="dxa" w:w="80"/>
              <w:right w:type="dxa" w:w="100"/>
            </w:tcMar>
          </w:tcPr>
          <w:p>
            <w:r>
              <w:rPr>
                <w:b/>
                <w:bCs/>
                <w:color w:val="FFFFFF"/>
                <w:sz w:val="19"/>
                <w:szCs w:val="19"/>
              </w:rPr>
              <w:t xml:space="preserve">Fix</w:t>
            </w:r>
          </w:p>
        </w:tc>
      </w:tr>
      <w:tr>
        <w:tc>
          <w:tcPr>
            <w:tcW w:type="dxa" w:w="11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sz w:val="19"/>
                <w:szCs w:val="19"/>
              </w:rPr>
              <w:t xml:space="preserve">VNQ-021</w:t>
            </w:r>
          </w:p>
        </w:tc>
        <w:tc>
          <w:tcPr>
            <w:tcW w:type="dxa" w:w="10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b/>
                <w:bCs/>
                <w:color w:val="D97706"/>
                <w:sz w:val="19"/>
                <w:szCs w:val="19"/>
              </w:rPr>
              <w:t xml:space="preserve">HIGH</w:t>
            </w:r>
          </w:p>
        </w:tc>
        <w:tc>
          <w:tcPr>
            <w:tcW w:type="dxa" w:w="44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sz w:val="19"/>
                <w:szCs w:val="19"/>
              </w:rPr>
              <w:t xml:space="preserve">Report count stated four ways: Pricing page says 40, Features page says 38, internal docs say 43, actual routes ≈57</w:t>
            </w:r>
          </w:p>
        </w:tc>
        <w:tc>
          <w:tcPr>
            <w:tcW w:type="dxa" w:w="35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sz w:val="19"/>
                <w:szCs w:val="19"/>
              </w:rPr>
              <w:t xml:space="preserve">Count the real shipped/documented reports, pick one true number, use it on both Pricing.jsx and Features.jsx</w:t>
            </w:r>
          </w:p>
        </w:tc>
      </w:tr>
      <w:tr>
        <w:tc>
          <w:tcPr>
            <w:tcW w:type="dxa" w:w="110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sz w:val="19"/>
                <w:szCs w:val="19"/>
              </w:rPr>
              <w:t xml:space="preserve">VNQ-022</w:t>
            </w:r>
          </w:p>
        </w:tc>
        <w:tc>
          <w:tcPr>
            <w:tcW w:type="dxa" w:w="100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b/>
                <w:bCs/>
                <w:color w:val="2563EB"/>
                <w:sz w:val="19"/>
                <w:szCs w:val="19"/>
              </w:rPr>
              <w:t xml:space="preserve">MEDIUM</w:t>
            </w:r>
          </w:p>
        </w:tc>
        <w:tc>
          <w:tcPr>
            <w:tcW w:type="dxa" w:w="440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sz w:val="19"/>
                <w:szCs w:val="19"/>
              </w:rPr>
              <w:t xml:space="preserve">Features.jsx claims "multi-currency with real-time exchange rates" — the only currency logic found is display-side USD/PKR pricing on the marketing page, not transactional multi-currency</w:t>
            </w:r>
          </w:p>
        </w:tc>
        <w:tc>
          <w:tcPr>
            <w:tcW w:type="dxa" w:w="358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sz w:val="19"/>
                <w:szCs w:val="19"/>
              </w:rPr>
              <w:t xml:space="preserve">Soften or remove the claim, or scope it out for a future release note — do not leave a false capability claim live</w:t>
            </w:r>
          </w:p>
        </w:tc>
      </w:tr>
      <w:tr>
        <w:tc>
          <w:tcPr>
            <w:tcW w:type="dxa" w:w="11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sz w:val="19"/>
                <w:szCs w:val="19"/>
              </w:rPr>
              <w:t xml:space="preserve">VNQ-016</w:t>
            </w:r>
          </w:p>
        </w:tc>
        <w:tc>
          <w:tcPr>
            <w:tcW w:type="dxa" w:w="10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b/>
                <w:bCs/>
                <w:color w:val="D97706"/>
                <w:sz w:val="19"/>
                <w:szCs w:val="19"/>
              </w:rPr>
              <w:t xml:space="preserve">HIGH</w:t>
            </w:r>
          </w:p>
        </w:tc>
        <w:tc>
          <w:tcPr>
            <w:tcW w:type="dxa" w:w="44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sz w:val="19"/>
                <w:szCs w:val="19"/>
              </w:rPr>
              <w:t xml:space="preserve">PKR/USD pricing uses ~30× FX for monthly/annual but 280× for Lifetime Deal pricing; the USD LTD ($79) pays for itself in 2-3 months vs the $36/mo subscription — likely underpriced unless deliberately a loss-leader</w:t>
            </w:r>
          </w:p>
        </w:tc>
        <w:tc>
          <w:tcPr>
            <w:tcW w:type="dxa" w:w="35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sz w:val="19"/>
                <w:szCs w:val="19"/>
              </w:rPr>
              <w:t xml:space="preserve">Confirm intentionally, or correct the LTD price before it's live and irreversible for early buyers</w:t>
            </w:r>
          </w:p>
        </w:tc>
      </w:tr>
    </w:tbl>
    <w:p>
      <w:pPr>
        <w:pStyle w:val="Heading2"/>
      </w:pPr>
      <w:r>
        <w:t xml:space="preserve">1.4 — Security and hygiene items confirmed still open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100"/>
        <w:gridCol w:w="1000"/>
        <w:gridCol w:w="4700"/>
        <w:gridCol w:w="3280"/>
      </w:tblGrid>
      <w:tr>
        <w:trPr>
          <w:tblHeader/>
        </w:trPr>
        <w:tc>
          <w:tcPr>
            <w:tcW w:type="dxa" w:w="1100"/>
            <w:tcBorders>
              <w:top w:val="single" w:color="D1D5DB" w:sz="1"/>
              <w:left w:val="single" w:color="D1D5DB" w:sz="1"/>
              <w:bottom w:val="single" w:color="D1D5DB" w:sz="1"/>
              <w:right w:val="single" w:color="D1D5DB" w:sz="1"/>
            </w:tcBorders>
            <w:shd w:fill="1F2937" w:val="clear"/>
            <w:tcMar>
              <w:top w:type="dxa" w:w="80"/>
              <w:left w:type="dxa" w:w="100"/>
              <w:bottom w:type="dxa" w:w="80"/>
              <w:right w:type="dxa" w:w="100"/>
            </w:tcMar>
          </w:tcPr>
          <w:p>
            <w:r>
              <w:rPr>
                <w:b/>
                <w:bCs/>
                <w:color w:val="FFFFFF"/>
                <w:sz w:val="19"/>
                <w:szCs w:val="19"/>
              </w:rPr>
              <w:t xml:space="preserve">ID</w:t>
            </w:r>
          </w:p>
        </w:tc>
        <w:tc>
          <w:tcPr>
            <w:tcW w:type="dxa" w:w="1000"/>
            <w:tcBorders>
              <w:top w:val="single" w:color="D1D5DB" w:sz="1"/>
              <w:left w:val="single" w:color="D1D5DB" w:sz="1"/>
              <w:bottom w:val="single" w:color="D1D5DB" w:sz="1"/>
              <w:right w:val="single" w:color="D1D5DB" w:sz="1"/>
            </w:tcBorders>
            <w:shd w:fill="1F2937" w:val="clear"/>
            <w:tcMar>
              <w:top w:type="dxa" w:w="80"/>
              <w:left w:type="dxa" w:w="100"/>
              <w:bottom w:type="dxa" w:w="80"/>
              <w:right w:type="dxa" w:w="100"/>
            </w:tcMar>
          </w:tcPr>
          <w:p>
            <w:r>
              <w:rPr>
                <w:b/>
                <w:bCs/>
                <w:color w:val="FFFFFF"/>
                <w:sz w:val="19"/>
                <w:szCs w:val="19"/>
              </w:rPr>
              <w:t xml:space="preserve">Sev</w:t>
            </w:r>
          </w:p>
        </w:tc>
        <w:tc>
          <w:tcPr>
            <w:tcW w:type="dxa" w:w="4700"/>
            <w:tcBorders>
              <w:top w:val="single" w:color="D1D5DB" w:sz="1"/>
              <w:left w:val="single" w:color="D1D5DB" w:sz="1"/>
              <w:bottom w:val="single" w:color="D1D5DB" w:sz="1"/>
              <w:right w:val="single" w:color="D1D5DB" w:sz="1"/>
            </w:tcBorders>
            <w:shd w:fill="1F2937" w:val="clear"/>
            <w:tcMar>
              <w:top w:type="dxa" w:w="80"/>
              <w:left w:type="dxa" w:w="100"/>
              <w:bottom w:type="dxa" w:w="80"/>
              <w:right w:type="dxa" w:w="100"/>
            </w:tcMar>
          </w:tcPr>
          <w:p>
            <w:r>
              <w:rPr>
                <w:b/>
                <w:bCs/>
                <w:color w:val="FFFFFF"/>
                <w:sz w:val="19"/>
                <w:szCs w:val="19"/>
              </w:rPr>
              <w:t xml:space="preserve">Issue</w:t>
            </w:r>
          </w:p>
        </w:tc>
        <w:tc>
          <w:tcPr>
            <w:tcW w:type="dxa" w:w="3280"/>
            <w:tcBorders>
              <w:top w:val="single" w:color="D1D5DB" w:sz="1"/>
              <w:left w:val="single" w:color="D1D5DB" w:sz="1"/>
              <w:bottom w:val="single" w:color="D1D5DB" w:sz="1"/>
              <w:right w:val="single" w:color="D1D5DB" w:sz="1"/>
            </w:tcBorders>
            <w:shd w:fill="1F2937" w:val="clear"/>
            <w:tcMar>
              <w:top w:type="dxa" w:w="80"/>
              <w:left w:type="dxa" w:w="100"/>
              <w:bottom w:type="dxa" w:w="80"/>
              <w:right w:type="dxa" w:w="100"/>
            </w:tcMar>
          </w:tcPr>
          <w:p>
            <w:r>
              <w:rPr>
                <w:b/>
                <w:bCs/>
                <w:color w:val="FFFFFF"/>
                <w:sz w:val="19"/>
                <w:szCs w:val="19"/>
              </w:rPr>
              <w:t xml:space="preserve">Fix</w:t>
            </w:r>
          </w:p>
        </w:tc>
      </w:tr>
      <w:tr>
        <w:tc>
          <w:tcPr>
            <w:tcW w:type="dxa" w:w="11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sz w:val="19"/>
                <w:szCs w:val="19"/>
              </w:rPr>
              <w:t xml:space="preserve">VNQ-002</w:t>
            </w:r>
          </w:p>
        </w:tc>
        <w:tc>
          <w:tcPr>
            <w:tcW w:type="dxa" w:w="10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b/>
                <w:bCs/>
                <w:color w:val="D97706"/>
                <w:sz w:val="19"/>
                <w:szCs w:val="19"/>
              </w:rPr>
              <w:t xml:space="preserve">HIGH</w:t>
            </w:r>
          </w:p>
        </w:tc>
        <w:tc>
          <w:tcPr>
            <w:tcW w:type="dxa" w:w="47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sz w:val="19"/>
                <w:szCs w:val="19"/>
              </w:rPr>
              <w:t xml:space="preserve">Factory-reset/admin passcode: verify it compares against the hashed security_pin, not plaintext</w:t>
            </w:r>
          </w:p>
        </w:tc>
        <w:tc>
          <w:tcPr>
            <w:tcW w:type="dxa" w:w="32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sz w:val="19"/>
                <w:szCs w:val="19"/>
              </w:rPr>
              <w:t xml:space="preserve">Grep SystemResetController for the comparison; confirm Hash::check() is used, not ===</w:t>
            </w:r>
          </w:p>
        </w:tc>
      </w:tr>
      <w:tr>
        <w:tc>
          <w:tcPr>
            <w:tcW w:type="dxa" w:w="110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sz w:val="19"/>
                <w:szCs w:val="19"/>
              </w:rPr>
              <w:t xml:space="preserve">VNQ-100</w:t>
            </w:r>
          </w:p>
        </w:tc>
        <w:tc>
          <w:tcPr>
            <w:tcW w:type="dxa" w:w="100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b/>
                <w:bCs/>
                <w:color w:val="6B7280"/>
                <w:sz w:val="19"/>
                <w:szCs w:val="19"/>
              </w:rPr>
              <w:t xml:space="preserve">LOW</w:t>
            </w:r>
          </w:p>
        </w:tc>
        <w:tc>
          <w:tcPr>
            <w:tcW w:type="dxa" w:w="470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sz w:val="19"/>
                <w:szCs w:val="19"/>
              </w:rPr>
              <w:t xml:space="preserve">Dead file shipped and even compiled: LandingPage.backup-20260628-100044.jsx (59KB) still present, plus a compiled copy in public/build/assets — confirmed on disk today</w:t>
            </w:r>
          </w:p>
        </w:tc>
        <w:tc>
          <w:tcPr>
            <w:tcW w:type="dxa" w:w="328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sz w:val="19"/>
                <w:szCs w:val="19"/>
              </w:rPr>
              <w:t xml:space="preserve">Delete both files, rebuild assets (npm run build), redeploy</w:t>
            </w:r>
          </w:p>
        </w:tc>
      </w:tr>
      <w:tr>
        <w:tc>
          <w:tcPr>
            <w:tcW w:type="dxa" w:w="11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sz w:val="19"/>
                <w:szCs w:val="19"/>
              </w:rPr>
              <w:t xml:space="preserve">VNQ-093</w:t>
            </w:r>
          </w:p>
        </w:tc>
        <w:tc>
          <w:tcPr>
            <w:tcW w:type="dxa" w:w="10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b/>
                <w:bCs/>
                <w:color w:val="D97706"/>
                <w:sz w:val="19"/>
                <w:szCs w:val="19"/>
              </w:rPr>
              <w:t xml:space="preserve">HIGH</w:t>
            </w:r>
          </w:p>
        </w:tc>
        <w:tc>
          <w:tcPr>
            <w:tcW w:type="dxa" w:w="47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sz w:val="19"/>
                <w:szCs w:val="19"/>
              </w:rPr>
              <w:t xml:space="preserve">Rotate any marketplace/API secrets that were ever pasted into a doc, chat, or committed file; confirm VenSynQ integration is off in production per the existing launch checklist note</w:t>
            </w:r>
          </w:p>
        </w:tc>
        <w:tc>
          <w:tcPr>
            <w:tcW w:type="dxa" w:w="32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sz w:val="19"/>
                <w:szCs w:val="19"/>
              </w:rPr>
              <w:t xml:space="preserve">One-time secret rotation pass + explicit VenSynQ-off confirmation</w:t>
            </w:r>
          </w:p>
        </w:tc>
      </w:tr>
      <w:tr>
        <w:tc>
          <w:tcPr>
            <w:tcW w:type="dxa" w:w="110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sz w:val="19"/>
                <w:szCs w:val="19"/>
              </w:rPr>
              <w:t xml:space="preserve">VNQ-003</w:t>
            </w:r>
          </w:p>
        </w:tc>
        <w:tc>
          <w:tcPr>
            <w:tcW w:type="dxa" w:w="100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b/>
                <w:bCs/>
                <w:color w:val="2563EB"/>
                <w:sz w:val="19"/>
                <w:szCs w:val="19"/>
              </w:rPr>
              <w:t xml:space="preserve">MEDIUM</w:t>
            </w:r>
          </w:p>
        </w:tc>
        <w:tc>
          <w:tcPr>
            <w:tcW w:type="dxa" w:w="470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sz w:val="19"/>
                <w:szCs w:val="19"/>
              </w:rPr>
              <w:t xml:space="preserve">featuresArray() uses !== false logic, so a brand-new feature key with no seed entry defaults to unlocked for everyone</w:t>
            </w:r>
          </w:p>
        </w:tc>
        <w:tc>
          <w:tcPr>
            <w:tcW w:type="dxa" w:w="328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sz w:val="19"/>
                <w:szCs w:val="19"/>
              </w:rPr>
              <w:t xml:space="preserve">Flip default to locked for unknown keys; add a regression test</w:t>
            </w:r>
          </w:p>
        </w:tc>
      </w:tr>
    </w:tbl>
    <w:p>
      <w:pPr>
        <w:pStyle w:val="Heading2"/>
      </w:pPr>
      <w:r>
        <w:t xml:space="preserve">1.5 — Manual proof-of-life checks (do these by hand tonight, no code changes needed)</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1100"/>
        <w:gridCol w:w="7980"/>
      </w:tblGrid>
      <w:tr>
        <w:trPr>
          <w:tblHeader/>
        </w:trPr>
        <w:tc>
          <w:tcPr>
            <w:tcW w:type="dxa" w:w="1100"/>
            <w:tcBorders>
              <w:top w:val="single" w:color="D1D5DB" w:sz="1"/>
              <w:left w:val="single" w:color="D1D5DB" w:sz="1"/>
              <w:bottom w:val="single" w:color="D1D5DB" w:sz="1"/>
              <w:right w:val="single" w:color="D1D5DB" w:sz="1"/>
            </w:tcBorders>
            <w:shd w:fill="1F2937" w:val="clear"/>
            <w:tcMar>
              <w:top w:type="dxa" w:w="80"/>
              <w:left w:type="dxa" w:w="100"/>
              <w:bottom w:type="dxa" w:w="80"/>
              <w:right w:type="dxa" w:w="100"/>
            </w:tcMar>
          </w:tcPr>
          <w:p>
            <w:r>
              <w:rPr>
                <w:b/>
                <w:bCs/>
                <w:color w:val="FFFFFF"/>
                <w:sz w:val="19"/>
                <w:szCs w:val="19"/>
              </w:rPr>
              <w:t xml:space="preserve">ID</w:t>
            </w:r>
          </w:p>
        </w:tc>
        <w:tc>
          <w:tcPr>
            <w:tcW w:type="dxa" w:w="7980"/>
            <w:tcBorders>
              <w:top w:val="single" w:color="D1D5DB" w:sz="1"/>
              <w:left w:val="single" w:color="D1D5DB" w:sz="1"/>
              <w:bottom w:val="single" w:color="D1D5DB" w:sz="1"/>
              <w:right w:val="single" w:color="D1D5DB" w:sz="1"/>
            </w:tcBorders>
            <w:shd w:fill="1F2937" w:val="clear"/>
            <w:tcMar>
              <w:top w:type="dxa" w:w="80"/>
              <w:left w:type="dxa" w:w="100"/>
              <w:bottom w:type="dxa" w:w="80"/>
              <w:right w:type="dxa" w:w="100"/>
            </w:tcMar>
          </w:tcPr>
          <w:p>
            <w:r>
              <w:rPr>
                <w:b/>
                <w:bCs/>
                <w:color w:val="FFFFFF"/>
                <w:sz w:val="19"/>
                <w:szCs w:val="19"/>
              </w:rPr>
              <w:t xml:space="preserve">Check</w:t>
            </w:r>
          </w:p>
        </w:tc>
      </w:tr>
      <w:tr>
        <w:tc>
          <w:tcPr>
            <w:tcW w:type="dxa" w:w="11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sz w:val="19"/>
                <w:szCs w:val="19"/>
              </w:rPr>
              <w:t xml:space="preserve">VNQ-121</w:t>
            </w:r>
          </w:p>
        </w:tc>
        <w:tc>
          <w:tcPr>
            <w:tcW w:type="dxa" w:w="79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sz w:val="19"/>
                <w:szCs w:val="19"/>
              </w:rPr>
              <w:t xml:space="preserve">Full backup → restore cycle on a real test store. If this doesn't work, you find out after losing data, not before.</w:t>
            </w:r>
          </w:p>
        </w:tc>
      </w:tr>
      <w:tr>
        <w:tc>
          <w:tcPr>
            <w:tcW w:type="dxa" w:w="110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sz w:val="19"/>
                <w:szCs w:val="19"/>
              </w:rPr>
              <w:t xml:space="preserve">VNQ-122</w:t>
            </w:r>
          </w:p>
        </w:tc>
        <w:tc>
          <w:tcPr>
            <w:tcW w:type="dxa" w:w="798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sz w:val="19"/>
                <w:szCs w:val="19"/>
              </w:rPr>
              <w:t xml:space="preserve">Print an actual A4 invoice — check alignment, tax lines, discount lines. Thermal/receipt printers if used in real stores.</w:t>
            </w:r>
          </w:p>
        </w:tc>
      </w:tr>
      <w:tr>
        <w:tc>
          <w:tcPr>
            <w:tcW w:type="dxa" w:w="11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sz w:val="19"/>
                <w:szCs w:val="19"/>
              </w:rPr>
              <w:t xml:space="preserve">VNQ-123</w:t>
            </w:r>
          </w:p>
        </w:tc>
        <w:tc>
          <w:tcPr>
            <w:tcW w:type="dxa" w:w="79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sz w:val="19"/>
                <w:szCs w:val="19"/>
              </w:rPr>
              <w:t xml:space="preserve">Walk through each role once, logged in as that role: Owner, Manager, Cashier, and a Starter-plan tenant, a Growth-plan tenant. Confirm each sees only what they should.</w:t>
            </w:r>
          </w:p>
        </w:tc>
      </w:tr>
      <w:tr>
        <w:tc>
          <w:tcPr>
            <w:tcW w:type="dxa" w:w="110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sz w:val="19"/>
                <w:szCs w:val="19"/>
              </w:rPr>
              <w:t xml:space="preserve">VNQ-124</w:t>
            </w:r>
          </w:p>
        </w:tc>
        <w:tc>
          <w:tcPr>
            <w:tcW w:type="dxa" w:w="798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sz w:val="19"/>
                <w:szCs w:val="19"/>
              </w:rPr>
              <w:t xml:space="preserve">Run one full realistic business day through the system by hand — a real "shopkeeper's day": open till, several sales with different payment types, a return, a purchase, close till, check the day's reports foot correctly.</w:t>
            </w:r>
          </w:p>
        </w:tc>
      </w:tr>
    </w:tbl>
    <w:p>
      <w:r>
        <w:br w:type="page"/>
      </w:r>
    </w:p>
    <w:p>
      <w:pPr>
        <w:pStyle w:val="Heading1"/>
      </w:pPr>
      <w:r>
        <w:t xml:space="preserve">Tier 2 — Fix Within the First Week (not launch-blocking)</w:t>
      </w:r>
    </w:p>
    <w:p>
      <w:pPr>
        <w:spacing w:after="160"/>
      </w:pPr>
      <w:r>
        <w:t xml:space="preserve">These are real gaps, but nothing here is a lie to a customer or a money-safety risk. This is the difference between "launches honestly tomorrow" and "feels world-class." Do not let this tier delay tomorrow's launch.</w:t>
      </w:r>
    </w:p>
    <w:p>
      <w:pPr>
        <w:pStyle w:val="Heading3"/>
      </w:pPr>
      <w:r>
        <w:t xml:space="preserve">Design &amp; perceived quality</w:t>
      </w:r>
    </w:p>
    <w:p>
      <w:pPr>
        <w:pStyle w:val="ListParagraph"/>
        <w:numPr>
          <w:ilvl w:val="0"/>
          <w:numId w:val="3"/>
        </w:numPr>
        <w:spacing w:after="80"/>
      </w:pPr>
      <w:r>
        <w:t xml:space="preserve">No design tokens in Tailwind config — confirmed only the Figtree font is set. Consequence: 186 unique hardcoded hex colors across the app, and border-radius ranging from rounded-lg to rounded-[2rem] on a single page. This is the single biggest lever for the app to stop feeling like a scale-up and start feeling enterprise-grade (VNQ-030/031).</w:t>
      </w:r>
    </w:p>
    <w:p>
      <w:pPr>
        <w:pStyle w:val="ListParagraph"/>
        <w:numPr>
          <w:ilvl w:val="0"/>
          <w:numId w:val="3"/>
        </w:numPr>
        <w:spacing w:after="80"/>
      </w:pPr>
      <w:r>
        <w:t xml:space="preserve">No shared toast/notification system — feedback is ad-hoc per page (VNQ-034).</w:t>
      </w:r>
    </w:p>
    <w:p>
      <w:pPr>
        <w:pStyle w:val="ListParagraph"/>
        <w:numPr>
          <w:ilvl w:val="0"/>
          <w:numId w:val="3"/>
        </w:numPr>
        <w:spacing w:after="80"/>
      </w:pPr>
      <w:r>
        <w:t xml:space="preserve">Loading states are mostly bare spinners; empty states on list pages are inconsistent or missing — skeleton loaders make an app feel roughly twice as fast even when it isn't (VNQ-042/043).</w:t>
      </w:r>
    </w:p>
    <w:p>
      <w:pPr>
        <w:pStyle w:val="ListParagraph"/>
        <w:numPr>
          <w:ilvl w:val="0"/>
          <w:numId w:val="3"/>
        </w:numPr>
        <w:spacing w:after="80"/>
      </w:pPr>
      <w:r>
        <w:t xml:space="preserve">Six overlapping layout shells, including an unused Breeze default alongside the real app shell — pick one canonical layout (VNQ-035).</w:t>
      </w:r>
    </w:p>
    <w:p>
      <w:pPr>
        <w:pStyle w:val="Heading3"/>
      </w:pPr>
      <w:r>
        <w:t xml:space="preserve">Performance &amp; scale</w:t>
      </w:r>
    </w:p>
    <w:p>
      <w:pPr>
        <w:pStyle w:val="ListParagraph"/>
        <w:numPr>
          <w:ilvl w:val="0"/>
          <w:numId w:val="3"/>
        </w:numPr>
        <w:spacing w:after="80"/>
      </w:pPr>
      <w:r>
        <w:t xml:space="preserve">No load test has been run at 100k–1M rows — indexes exist and N+1 queries were fixed, but this hasn't been proven at real scale (VNQ-080).</w:t>
      </w:r>
    </w:p>
    <w:p>
      <w:pPr>
        <w:pStyle w:val="ListParagraph"/>
        <w:numPr>
          <w:ilvl w:val="0"/>
          <w:numId w:val="3"/>
        </w:numPr>
        <w:spacing w:after="80"/>
      </w:pPr>
      <w:r>
        <w:t xml:space="preserve">Every POS terminal in a store defaults to register ID "R1" and shares one locked sequence row — correct today (no duplicate invoice numbers) but a contention bottleneck once a store runs several terminals at once (VNQ-082).</w:t>
      </w:r>
    </w:p>
    <w:p>
      <w:pPr>
        <w:pStyle w:val="ListParagraph"/>
        <w:numPr>
          <w:ilvl w:val="0"/>
          <w:numId w:val="3"/>
        </w:numPr>
        <w:spacing w:after="80"/>
      </w:pPr>
      <w:r>
        <w:t xml:space="preserve">Pagination is not confirmed on every list report (VNQ-081).</w:t>
      </w:r>
    </w:p>
    <w:p>
      <w:pPr>
        <w:pStyle w:val="Heading3"/>
      </w:pPr>
      <w:r>
        <w:t xml:space="preserve">Accessibility</w:t>
      </w:r>
    </w:p>
    <w:p>
      <w:pPr>
        <w:pStyle w:val="ListParagraph"/>
        <w:numPr>
          <w:ilvl w:val="0"/>
          <w:numId w:val="3"/>
        </w:numPr>
        <w:spacing w:after="80"/>
      </w:pPr>
      <w:r>
        <w:t xml:space="preserve">Heavy use of low-contrast slate text on dark glass surfaces likely fails WCAG AA contrast — this matters for real readability in a bright shop, not just compliance (VNQ-070).</w:t>
      </w:r>
    </w:p>
    <w:p>
      <w:pPr>
        <w:pStyle w:val="Heading3"/>
      </w:pPr>
      <w:r>
        <w:t xml:space="preserve">Architecture residuals (money-safe today, worth closing)</w:t>
      </w:r>
    </w:p>
    <w:p>
      <w:pPr>
        <w:pStyle w:val="ListParagraph"/>
        <w:numPr>
          <w:ilvl w:val="0"/>
          <w:numId w:val="3"/>
        </w:numPr>
        <w:spacing w:after="80"/>
      </w:pPr>
      <w:r>
        <w:t xml:space="preserve">~15 raw sum()/count()/DB::table aggregates in AdminController bypass the verified core reporting engine — rare risk of an admin screen showing a number that doesn't match the real reports (VNQ-001).</w:t>
      </w:r>
    </w:p>
    <w:p>
      <w:pPr>
        <w:pStyle w:val="ListParagraph"/>
        <w:numPr>
          <w:ilvl w:val="0"/>
          <w:numId w:val="3"/>
        </w:numPr>
        <w:spacing w:after="80"/>
      </w:pPr>
      <w:r>
        <w:t xml:space="preserve">Two parallel SaleController/FifoService/InventoryService implementations still coexist — a fix has already landed on only one path before (a tax-to-wrong-account bug in the audit history). Not urgent, but it's the reason to keep the reconciliation tests green (VNQ-004).</w:t>
      </w:r>
    </w:p>
    <w:p>
      <w:r>
        <w:br w:type="page"/>
      </w:r>
    </w:p>
    <w:p>
      <w:pPr>
        <w:pStyle w:val="Heading1"/>
      </w:pPr>
      <w:r>
        <w:t xml:space="preserve">Tier 3 — Can Wait Weeks (do not let this block tomorrow)</w:t>
      </w:r>
    </w:p>
    <w:p>
      <w:pPr>
        <w:pStyle w:val="ListParagraph"/>
        <w:numPr>
          <w:ilvl w:val="0"/>
          <w:numId w:val="3"/>
        </w:numPr>
        <w:spacing w:after="80"/>
      </w:pPr>
      <w:r>
        <w:t xml:space="preserve">Command palette / ⌘K power-user navigation</w:t>
      </w:r>
    </w:p>
    <w:p>
      <w:pPr>
        <w:pStyle w:val="ListParagraph"/>
        <w:numPr>
          <w:ilvl w:val="0"/>
          <w:numId w:val="3"/>
        </w:numPr>
        <w:spacing w:after="80"/>
      </w:pPr>
      <w:r>
        <w:t xml:space="preserve">Motion system — consistent timing/easing tokens across transitions</w:t>
      </w:r>
    </w:p>
    <w:p>
      <w:pPr>
        <w:pStyle w:val="ListParagraph"/>
        <w:numPr>
          <w:ilvl w:val="0"/>
          <w:numId w:val="3"/>
        </w:numPr>
        <w:spacing w:after="80"/>
      </w:pPr>
      <w:r>
        <w:t xml:space="preserve">Full component standardization (Button/Card/Modal/Form primitives)</w:t>
      </w:r>
    </w:p>
    <w:p>
      <w:pPr>
        <w:pStyle w:val="ListParagraph"/>
        <w:numPr>
          <w:ilvl w:val="0"/>
          <w:numId w:val="3"/>
        </w:numPr>
        <w:spacing w:after="80"/>
      </w:pPr>
      <w:r>
        <w:t xml:space="preserve">External penetration test and formal accountant sign-off on a simulated month</w:t>
      </w:r>
    </w:p>
    <w:p>
      <w:pPr>
        <w:pStyle w:val="ListParagraph"/>
        <w:numPr>
          <w:ilvl w:val="0"/>
          <w:numId w:val="3"/>
        </w:numPr>
        <w:spacing w:after="80"/>
      </w:pPr>
      <w:r>
        <w:t xml:space="preserve">Help center, FAQs, getting-started documentation</w:t>
      </w:r>
    </w:p>
    <w:p>
      <w:pPr>
        <w:pStyle w:val="ListParagraph"/>
        <w:numPr>
          <w:ilvl w:val="0"/>
          <w:numId w:val="3"/>
        </w:numPr>
        <w:spacing w:after="80"/>
      </w:pPr>
      <w:r>
        <w:t xml:space="preserve">AppSumo / Etsy marketplace listing assets</w:t>
      </w:r>
    </w:p>
    <w:p>
      <w:pPr>
        <w:pStyle w:val="ListParagraph"/>
        <w:numPr>
          <w:ilvl w:val="0"/>
          <w:numId w:val="3"/>
        </w:numPr>
        <w:spacing w:after="80"/>
      </w:pPr>
      <w:r>
        <w:t xml:space="preserve">Brand terminology glossary (Khata / Party / Pre-sale naming consistency) and "Enterprise" (UI) vs "business" (backend) naming unification</w:t>
      </w:r>
    </w:p>
    <w:p>
      <w:pPr>
        <w:pStyle w:val="ListParagraph"/>
        <w:numPr>
          <w:ilvl w:val="0"/>
          <w:numId w:val="3"/>
        </w:numPr>
        <w:spacing w:after="80"/>
      </w:pPr>
      <w:r>
        <w:t xml:space="preserve">Full engine consolidation (collapsing the legacy/V3 duality permanently)</w:t>
      </w:r>
    </w:p>
    <w:p>
      <w:r>
        <w:br w:type="page"/>
      </w:r>
    </w:p>
    <w:p>
      <w:pPr>
        <w:pStyle w:val="Heading1"/>
      </w:pPr>
      <w:r>
        <w:t xml:space="preserve">Tonight's Execution Order</w:t>
      </w:r>
    </w:p>
    <w:p>
      <w:pPr>
        <w:spacing w:after="160"/>
      </w:pPr>
      <w:r>
        <w:t xml:space="preserve">Suggested sequence if working solo against the clock. Each step assumes the previous one is done.</w:t>
      </w:r>
    </w:p>
    <w:p>
      <w:pPr>
        <w:pStyle w:val="ListParagraph"/>
        <w:numPr>
          <w:ilvl w:val="0"/>
          <w:numId w:val="2"/>
        </w:numPr>
        <w:spacing w:after="80"/>
      </w:pPr>
      <w:r>
        <w:t xml:space="preserve">Lock down the environment (0.1) — get a real production .env from .env.production.example onto the server, filled in, APP_ENV=production, APP_DEBUG=false.</w:t>
      </w:r>
    </w:p>
    <w:p>
      <w:pPr>
        <w:pStyle w:val="ListParagraph"/>
        <w:numPr>
          <w:ilvl w:val="0"/>
          <w:numId w:val="2"/>
        </w:numPr>
        <w:spacing w:after="80"/>
      </w:pPr>
      <w:r>
        <w:t xml:space="preserve">Confirm Lemon Squeezy Live vs Test mode (0.2) and that the webhook URL/signing secret match production.</w:t>
      </w:r>
    </w:p>
    <w:p>
      <w:pPr>
        <w:pStyle w:val="ListParagraph"/>
        <w:numPr>
          <w:ilvl w:val="0"/>
          <w:numId w:val="2"/>
        </w:numPr>
        <w:spacing w:after="80"/>
      </w:pPr>
      <w:r>
        <w:t xml:space="preserve">Fix the two Starter pricing rows and the config/seeder mismatch (1.1) — these are minutes of edits.</w:t>
      </w:r>
    </w:p>
    <w:p>
      <w:pPr>
        <w:pStyle w:val="ListParagraph"/>
        <w:numPr>
          <w:ilvl w:val="0"/>
          <w:numId w:val="2"/>
        </w:numPr>
        <w:spacing w:after="80"/>
      </w:pPr>
      <w:r>
        <w:t xml:space="preserve">Run the real (refundable) purchase tests for WooCommerce add-on, one AI add-on, and a plain subscription (1.2 / VNQ-120) — this is the step most likely to surface a real bug, so leave time for it.</w:t>
      </w:r>
    </w:p>
    <w:p>
      <w:pPr>
        <w:pStyle w:val="ListParagraph"/>
        <w:numPr>
          <w:ilvl w:val="0"/>
          <w:numId w:val="2"/>
        </w:numPr>
        <w:spacing w:after="80"/>
      </w:pPr>
      <w:r>
        <w:t xml:space="preserve">Pick one true report-count number and fix both marketing pages (1.3).</w:t>
      </w:r>
    </w:p>
    <w:p>
      <w:pPr>
        <w:pStyle w:val="ListParagraph"/>
        <w:numPr>
          <w:ilvl w:val="0"/>
          <w:numId w:val="2"/>
        </w:numPr>
        <w:spacing w:after="80"/>
      </w:pPr>
      <w:r>
        <w:t xml:space="preserve">Verify the reset passcode hashing and delete the dead backup files (1.4).</w:t>
      </w:r>
    </w:p>
    <w:p>
      <w:pPr>
        <w:pStyle w:val="ListParagraph"/>
        <w:numPr>
          <w:ilvl w:val="0"/>
          <w:numId w:val="2"/>
        </w:numPr>
        <w:spacing w:after="80"/>
      </w:pPr>
      <w:r>
        <w:t xml:space="preserve">Run the manual proof-of-life pass — backup/restore, A4 print, one full walkthrough per role, one full realistic sales day (1.5). Do not skip this; it is the cheapest possible insurance.</w:t>
      </w:r>
    </w:p>
    <w:p>
      <w:pPr>
        <w:pStyle w:val="ListParagraph"/>
        <w:numPr>
          <w:ilvl w:val="0"/>
          <w:numId w:val="2"/>
        </w:numPr>
        <w:spacing w:after="80"/>
      </w:pPr>
      <w:r>
        <w:t xml:space="preserve">Confirm no demo data sits in the production database before opening the doors (0.3).</w:t>
      </w:r>
    </w:p>
    <w:p>
      <w:pPr>
        <w:pStyle w:val="ListParagraph"/>
        <w:numPr>
          <w:ilvl w:val="0"/>
          <w:numId w:val="2"/>
        </w:numPr>
        <w:spacing w:after="80"/>
      </w:pPr>
      <w:r>
        <w:t xml:space="preserve">Everything in Tier 2 and Tier 3 becomes next week's work, tracked from the existing VenQore_Master_Roadmap_87_to_100.md checklist (Part 9), which already has IDs, effort estimates, and dependencies for all of it.</w:t>
      </w:r>
    </w:p>
    <w:p>
      <w:pPr>
        <w:pBdr>
          <w:bottom w:val="single" w:color="D1D5DB" w:sz="6" w:space="1"/>
        </w:pBdr>
        <w:spacing w:after="240" w:before="120"/>
      </w:pPr>
    </w:p>
    <w:p>
      <w:pPr>
        <w:pStyle w:val="Heading3"/>
      </w:pPr>
      <w:r>
        <w:t xml:space="preserve">Bottom line</w:t>
      </w:r>
    </w:p>
    <w:p>
      <w:pPr>
        <w:spacing w:after="160"/>
      </w:pPr>
      <w:r>
        <w:rPr>
          <w:b w:val="false"/>
          <w:bCs w:val="false"/>
        </w:rPr>
        <w:t xml:space="preserve">The roadmap document already on disk is honest and correct: you do not need a 100/100 product tomorrow, you need Phase 1 — proven billing, a truthful pricing page, and a production-safe environment. Every item above was checked against the live code today, not assumed from the audit. Nothing in Tier 0 or Tier 1 is a redesign; it's configuration, a handful of seeder/table edits, and manual verification you can do by hand tonight.</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CA3AF"/>
        <w:sz w:val="16"/>
        <w:szCs w:val="16"/>
      </w:rPr>
      <w:t xml:space="preserve">Page </w:t>
    </w:r>
    <w:r>
      <w:rPr>
        <w:color w:val="9CA3AF"/>
        <w:sz w:val="16"/>
        <w:szCs w:val="16"/>
      </w:rPr>
      <w:fldChar w:fldCharType="begin"/>
      <w:instrText xml:space="preserve">PAGE</w:instrText>
      <w:fldChar w:fldCharType="separate"/>
      <w:fldChar w:fldCharType="end"/>
    </w:r>
    <w:r>
      <w:rPr>
        <w:color w:val="9CA3AF"/>
        <w:sz w:val="16"/>
        <w:szCs w:val="16"/>
      </w:rPr>
      <w:t xml:space="preserve"> of </w:t>
    </w:r>
    <w:r>
      <w:rPr>
        <w:color w:val="9CA3AF"/>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1D5DB" w:sz="4" w:space="2"/>
      </w:pBdr>
      <w:tabs>
        <w:tab w:val="right" w:pos="10080"/>
      </w:tabs>
    </w:pPr>
    <w:r>
      <w:rPr>
        <w:color w:val="6B7280"/>
        <w:sz w:val="16"/>
        <w:szCs w:val="16"/>
      </w:rPr>
      <w:t xml:space="preserve">VenQore POS — Launch Readiness Plan</w:t>
    </w:r>
    <w:r>
      <w:rPr>
        <w:color w:val="6B7280"/>
        <w:sz w:val="16"/>
        <w:szCs w:val="16"/>
      </w:rPr>
      <w:t xml:space="preserve">	July 2,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300"/>
      </w:pPr>
    </w:lvl>
  </w:abstractNum>
  <w:abstractNum w:abstractNumId="3" w15:restartNumberingAfterBreak="0">
    <w:multiLevelType w:val="hybridMultilevel"/>
    <w:lvl w:ilvl="0" w15:tentative="1">
      <w:start w:val="1"/>
      <w:numFmt w:val="decimal"/>
      <w:lvlText w:val="%1."/>
      <w:lvlJc w:val="left"/>
      <w:pPr>
        <w:ind w:left="50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11827" w:sz="8" w:space="4"/>
      </w:pBdr>
      <w:spacing w:after="200" w:before="400"/>
      <w:outlineLvl w:val="0"/>
    </w:pPr>
    <w:rPr>
      <w:rFonts w:ascii="Calibri" w:cs="Calibri" w:eastAsia="Calibri" w:hAnsi="Calibri"/>
      <w:b/>
      <w:bCs/>
      <w:color w:val="111827"/>
      <w:sz w:val="32"/>
      <w:szCs w:val="32"/>
    </w:rPr>
  </w:style>
  <w:style w:type="paragraph" w:styleId="Heading2">
    <w:name w:val="Heading 2"/>
    <w:basedOn w:val="Normal"/>
    <w:next w:val="Normal"/>
    <w:qFormat/>
    <w:pPr>
      <w:spacing w:after="160" w:before="280"/>
      <w:outlineLvl w:val="1"/>
    </w:pPr>
    <w:rPr>
      <w:rFonts w:ascii="Calibri" w:cs="Calibri" w:eastAsia="Calibri" w:hAnsi="Calibri"/>
      <w:b/>
      <w:bCs/>
      <w:color w:val="1F2937"/>
      <w:sz w:val="26"/>
      <w:szCs w:val="26"/>
    </w:rPr>
  </w:style>
  <w:style w:type="paragraph" w:styleId="Heading3">
    <w:name w:val="Heading 3"/>
    <w:basedOn w:val="Normal"/>
    <w:next w:val="Normal"/>
    <w:qFormat/>
    <w:pPr>
      <w:spacing w:after="100" w:before="200"/>
      <w:outlineLvl w:val="2"/>
    </w:pPr>
    <w:rPr>
      <w:rFonts w:ascii="Calibri" w:cs="Calibri" w:eastAsia="Calibri" w:hAnsi="Calibri"/>
      <w:b/>
      <w:bCs/>
      <w:color w:val="37415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VenQore POS — Launch Readiness Plan</dc:title>
  <dc:creator>Claude</dc:creator>
  <cp:lastModifiedBy>Un-named</cp:lastModifiedBy>
  <cp:revision>1</cp:revision>
  <dcterms:created xsi:type="dcterms:W3CDTF">2026-07-02T00:32:17.931Z</dcterms:created>
  <dcterms:modified xsi:type="dcterms:W3CDTF">2026-07-02T00:32:17.932Z</dcterms:modified>
</cp:coreProperties>
</file>

<file path=docProps/custom.xml><?xml version="1.0" encoding="utf-8"?>
<Properties xmlns="http://schemas.openxmlformats.org/officeDocument/2006/custom-properties" xmlns:vt="http://schemas.openxmlformats.org/officeDocument/2006/docPropsVTypes"/>
</file>