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C5EA6" w14:textId="77777777" w:rsidR="007B2993" w:rsidRPr="00146761" w:rsidRDefault="00000000" w:rsidP="00146761">
      <w:pPr>
        <w:pStyle w:val="Heading1"/>
        <w:rPr>
          <w:rFonts w:asciiTheme="minorHAnsi" w:eastAsiaTheme="minorEastAsia" w:hAnsiTheme="minorHAnsi" w:cstheme="minorBidi"/>
          <w:b/>
          <w:bCs/>
          <w:sz w:val="22"/>
          <w:szCs w:val="22"/>
        </w:rPr>
      </w:pPr>
      <w:r w:rsidRPr="00146761">
        <w:rPr>
          <w:rFonts w:asciiTheme="minorHAnsi" w:eastAsiaTheme="minorEastAsia" w:hAnsiTheme="minorHAnsi" w:cstheme="minorBidi"/>
          <w:b/>
          <w:bCs/>
          <w:sz w:val="22"/>
          <w:szCs w:val="22"/>
        </w:rPr>
        <w:t>Original Manuscript ID: risks-4235608</w:t>
      </w:r>
    </w:p>
    <w:p w14:paraId="5F07D08F" w14:textId="77777777" w:rsidR="007B2993" w:rsidRDefault="00000000">
      <w:r>
        <w:t>Original Article Title: "Normalising Flow Enhanced GARCH Models: A Two-Stage Framework for Flexible Innovation Modelling in Financial Time Series"</w:t>
      </w:r>
    </w:p>
    <w:p w14:paraId="49D8D803" w14:textId="77777777" w:rsidR="007B2993" w:rsidRDefault="007B2993"/>
    <w:p w14:paraId="1EE3D1AB" w14:textId="77777777" w:rsidR="007B2993" w:rsidRDefault="00000000">
      <w:r>
        <w:t>To: Risks Editor</w:t>
      </w:r>
    </w:p>
    <w:p w14:paraId="24EF5A26" w14:textId="77777777" w:rsidR="007B2993" w:rsidRPr="00146761" w:rsidRDefault="00000000">
      <w:pPr>
        <w:rPr>
          <w:bCs/>
        </w:rPr>
      </w:pPr>
      <w:r w:rsidRPr="00146761">
        <w:rPr>
          <w:bCs/>
        </w:rPr>
        <w:t>Re: Response to Reviewers</w:t>
      </w:r>
    </w:p>
    <w:p w14:paraId="0D623328" w14:textId="77777777" w:rsidR="007B2993" w:rsidRDefault="007B2993"/>
    <w:p w14:paraId="0B5146B9" w14:textId="77777777" w:rsidR="007B2993" w:rsidRDefault="00000000">
      <w:r>
        <w:t>Dear Editor,</w:t>
      </w:r>
    </w:p>
    <w:p w14:paraId="4812DBBB" w14:textId="77777777" w:rsidR="007B2993" w:rsidRDefault="007B2993"/>
    <w:p w14:paraId="73803DBE" w14:textId="16F8D71A" w:rsidR="007B2993" w:rsidRDefault="00000000">
      <w:r>
        <w:t>Thank you for allowing a resubmission of our manuscript, with an opportunity to address the reviewers' comments. We are uploading: (a) our point-by-point response to the comments (below), (b) an updated manuscript with changes indicated, and (c) a clean updated manuscript.</w:t>
      </w:r>
    </w:p>
    <w:p w14:paraId="19CD9BDC" w14:textId="77777777" w:rsidR="007B2993" w:rsidRDefault="00000000">
      <w:r>
        <w:t>We are grateful to all three reviewers for their constructive and detailed feedback, which has substantially improved the manuscript. Every comment has been addressed; below we provide a point-by-point account of the changes made.</w:t>
      </w:r>
    </w:p>
    <w:p w14:paraId="7FE107E2" w14:textId="77777777" w:rsidR="007B2993" w:rsidRDefault="007B2993"/>
    <w:p w14:paraId="76F85572" w14:textId="77777777" w:rsidR="007B2993" w:rsidRDefault="00000000">
      <w:r>
        <w:t>Best regards,</w:t>
      </w:r>
    </w:p>
    <w:p w14:paraId="2FF2E96E" w14:textId="77777777" w:rsidR="007B2993" w:rsidRDefault="00000000">
      <w:r>
        <w:t>Abdullah Hassan, Farai Mlambo and Wilson Tsakane Mongwe</w:t>
      </w:r>
    </w:p>
    <w:p w14:paraId="14F1F3E9" w14:textId="77777777" w:rsidR="007B2993" w:rsidRDefault="00000000">
      <w:r>
        <w:br w:type="page"/>
      </w:r>
    </w:p>
    <w:p w14:paraId="2126E80B" w14:textId="77777777" w:rsidR="007B2993" w:rsidRDefault="00000000" w:rsidP="00146761">
      <w:pPr>
        <w:pStyle w:val="Heading1"/>
      </w:pPr>
      <w:r>
        <w:lastRenderedPageBreak/>
        <w:t>Reviewer 1</w:t>
      </w:r>
    </w:p>
    <w:p w14:paraId="6CA0C2E3" w14:textId="77777777" w:rsidR="007B2993" w:rsidRDefault="00000000">
      <w:r>
        <w:t>We thank Reviewer 1 for the thorough and balanced appraisal. In the table below we address each of the specific comments.</w:t>
      </w:r>
    </w:p>
    <w:p w14:paraId="6E6176F2" w14:textId="77777777" w:rsidR="007B2993" w:rsidRDefault="007B2993"/>
    <w:tbl>
      <w:tblPr>
        <w:tblStyle w:val="TableGrid"/>
        <w:tblW w:w="0" w:type="auto"/>
        <w:jc w:val="center"/>
        <w:tblLook w:val="04A0" w:firstRow="1" w:lastRow="0" w:firstColumn="1" w:lastColumn="0" w:noHBand="0" w:noVBand="1"/>
      </w:tblPr>
      <w:tblGrid>
        <w:gridCol w:w="4245"/>
        <w:gridCol w:w="5377"/>
      </w:tblGrid>
      <w:tr w:rsidR="007B2993" w14:paraId="4049E7ED" w14:textId="77777777">
        <w:trPr>
          <w:jc w:val="center"/>
        </w:trPr>
        <w:tc>
          <w:tcPr>
            <w:tcW w:w="4252" w:type="dxa"/>
            <w:shd w:val="clear" w:color="auto" w:fill="1F497D"/>
          </w:tcPr>
          <w:p w14:paraId="2C1D251D" w14:textId="77777777" w:rsidR="007B2993" w:rsidRDefault="00000000">
            <w:r>
              <w:rPr>
                <w:b/>
                <w:color w:val="FFFFFF"/>
              </w:rPr>
              <w:t>Reviewer Comments</w:t>
            </w:r>
          </w:p>
        </w:tc>
        <w:tc>
          <w:tcPr>
            <w:tcW w:w="5386" w:type="dxa"/>
            <w:shd w:val="clear" w:color="auto" w:fill="1F497D"/>
          </w:tcPr>
          <w:p w14:paraId="7525A578" w14:textId="77777777" w:rsidR="007B2993" w:rsidRDefault="00000000">
            <w:r>
              <w:rPr>
                <w:b/>
                <w:color w:val="FFFFFF"/>
              </w:rPr>
              <w:t>Author Response and Action</w:t>
            </w:r>
          </w:p>
        </w:tc>
      </w:tr>
      <w:tr w:rsidR="007B2993" w14:paraId="523C6668" w14:textId="77777777">
        <w:trPr>
          <w:jc w:val="center"/>
        </w:trPr>
        <w:tc>
          <w:tcPr>
            <w:tcW w:w="4252" w:type="dxa"/>
            <w:shd w:val="clear" w:color="auto" w:fill="DCE6F1"/>
          </w:tcPr>
          <w:p w14:paraId="6E534856" w14:textId="77777777" w:rsidR="007B2993" w:rsidRDefault="00000000">
            <w:r>
              <w:rPr>
                <w:sz w:val="20"/>
              </w:rPr>
              <w:t>Comment 1</w:t>
            </w:r>
          </w:p>
          <w:p w14:paraId="0C0AF1E6" w14:textId="1F4135D3" w:rsidR="007B2993" w:rsidRDefault="00000000">
            <w:r>
              <w:rPr>
                <w:i/>
                <w:sz w:val="20"/>
              </w:rPr>
              <w:t xml:space="preserve">The novelty is somewhat incremental, as flexible innovation modelling has already been explored in semi-parametric and </w:t>
            </w:r>
            <w:r w:rsidR="00146761">
              <w:rPr>
                <w:i/>
                <w:sz w:val="20"/>
              </w:rPr>
              <w:t>non-parametric</w:t>
            </w:r>
            <w:r>
              <w:rPr>
                <w:i/>
                <w:sz w:val="20"/>
              </w:rPr>
              <w:t xml:space="preserve"> GARCH frameworks.</w:t>
            </w:r>
          </w:p>
        </w:tc>
        <w:tc>
          <w:tcPr>
            <w:tcW w:w="5386" w:type="dxa"/>
            <w:shd w:val="clear" w:color="auto" w:fill="DCE6F1"/>
          </w:tcPr>
          <w:p w14:paraId="1AEEB257" w14:textId="47B426F1" w:rsidR="007B2993" w:rsidRDefault="00000000">
            <w:r>
              <w:rPr>
                <w:sz w:val="20"/>
              </w:rPr>
              <w:t xml:space="preserve">We agree that semi-parametric innovation modelling is not new in isolation. Our contribution is distinct in three ways: (a) we hold the volatility recursion fixed and ask whether replacing only the innovation law with a normalising flow yields systematic improvements </w:t>
            </w:r>
            <w:r w:rsidR="00DD33A9">
              <w:rPr>
                <w:sz w:val="20"/>
              </w:rPr>
              <w:t>-</w:t>
            </w:r>
            <w:r>
              <w:rPr>
                <w:sz w:val="20"/>
              </w:rPr>
              <w:t xml:space="preserve"> a question not addressed by joint flow–GARCH designs; (b) we evaluate this across four GARCH variants and 13 assets rather than one or two illustrative cases; (c) we provide a practical characterisation of when and why gains occur. A Research gap and contributions paragraph has been added to Section 1, explicitly positioning NF-GARCH against semi-parametric/kernel approaches, joint flow–GARCH estimation, and parametric skewed families, with five specific contributions listed.</w:t>
            </w:r>
            <w:r>
              <w:rPr>
                <w:sz w:val="20"/>
              </w:rPr>
              <w:br/>
            </w:r>
            <w:r>
              <w:rPr>
                <w:sz w:val="20"/>
              </w:rPr>
              <w:br/>
            </w:r>
            <w:r w:rsidRPr="00DD33A9">
              <w:rPr>
                <w:i/>
                <w:iCs/>
                <w:sz w:val="20"/>
              </w:rPr>
              <w:t>Manuscript change: Research gap and contributions paragraph added in Section 1.</w:t>
            </w:r>
          </w:p>
        </w:tc>
      </w:tr>
      <w:tr w:rsidR="007B2993" w14:paraId="3A965799" w14:textId="77777777">
        <w:trPr>
          <w:jc w:val="center"/>
        </w:trPr>
        <w:tc>
          <w:tcPr>
            <w:tcW w:w="4252" w:type="dxa"/>
            <w:shd w:val="clear" w:color="auto" w:fill="FFFFFF"/>
          </w:tcPr>
          <w:p w14:paraId="72318376" w14:textId="77777777" w:rsidR="007B2993" w:rsidRDefault="00000000">
            <w:r>
              <w:rPr>
                <w:sz w:val="20"/>
              </w:rPr>
              <w:t>Comment 2</w:t>
            </w:r>
          </w:p>
          <w:p w14:paraId="708D4458" w14:textId="77777777" w:rsidR="007B2993" w:rsidRDefault="00000000">
            <w:r>
              <w:rPr>
                <w:i/>
                <w:sz w:val="20"/>
              </w:rPr>
              <w:t>The improvements in forecasting performance are quantitatively small, raising concerns about their practical significance.</w:t>
            </w:r>
          </w:p>
        </w:tc>
        <w:tc>
          <w:tcPr>
            <w:tcW w:w="5386" w:type="dxa"/>
            <w:shd w:val="clear" w:color="auto" w:fill="FFFFFF"/>
          </w:tcPr>
          <w:p w14:paraId="7683D52F" w14:textId="0B3BCC9B" w:rsidR="007B2993" w:rsidRDefault="00000000">
            <w:r>
              <w:rPr>
                <w:sz w:val="20"/>
              </w:rPr>
              <w:t xml:space="preserve">The mean MSE reduction (~1.4 %) is modest, and we do not overstate its practical magnitude. A 'When to prefer NF-GARCH' block has been added to Section 5.5 characterising three conditions where NF-GARCH is attractive (skewed-t baseline, distributional realism requirement, modular infrastructure) and three where it is a weaker candidate. An economic interpretation paragraph clarifies that gains are more naturally read as evidence that misspecified innovation tails can be partially repaired without respecifying sigma^2_t </w:t>
            </w:r>
            <w:r w:rsidR="00B23E69">
              <w:rPr>
                <w:sz w:val="20"/>
              </w:rPr>
              <w:t>-</w:t>
            </w:r>
            <w:r>
              <w:rPr>
                <w:sz w:val="20"/>
              </w:rPr>
              <w:t xml:space="preserve"> consistent with regulatory interest in auditable, incrementally deployable risk engines. The abstract has also been updated with a risk-management caveat.</w:t>
            </w:r>
            <w:r>
              <w:rPr>
                <w:sz w:val="20"/>
              </w:rPr>
              <w:br/>
            </w:r>
            <w:r>
              <w:rPr>
                <w:sz w:val="20"/>
              </w:rPr>
              <w:br/>
            </w:r>
            <w:r w:rsidRPr="00DD33A9">
              <w:rPr>
                <w:i/>
                <w:iCs/>
                <w:sz w:val="20"/>
              </w:rPr>
              <w:t>Manuscript change: 'When to prefer NF-GARCH' block added in Section 5.5; abstract revised.</w:t>
            </w:r>
          </w:p>
        </w:tc>
      </w:tr>
      <w:tr w:rsidR="007B2993" w14:paraId="2CF76406" w14:textId="77777777">
        <w:trPr>
          <w:jc w:val="center"/>
        </w:trPr>
        <w:tc>
          <w:tcPr>
            <w:tcW w:w="4252" w:type="dxa"/>
            <w:shd w:val="clear" w:color="auto" w:fill="DCE6F1"/>
          </w:tcPr>
          <w:p w14:paraId="34AB553C" w14:textId="77777777" w:rsidR="007B2993" w:rsidRDefault="00000000">
            <w:r>
              <w:rPr>
                <w:sz w:val="20"/>
              </w:rPr>
              <w:t>Comment 3</w:t>
            </w:r>
          </w:p>
          <w:p w14:paraId="2BF1B1AB" w14:textId="77777777" w:rsidR="007B2993" w:rsidRDefault="00000000">
            <w:r>
              <w:rPr>
                <w:i/>
                <w:sz w:val="20"/>
              </w:rPr>
              <w:t>The evaluation omits stronger alternative benchmarks (e.g., GED, semi-parametric methods), weakening the empirical comparison.</w:t>
            </w:r>
          </w:p>
        </w:tc>
        <w:tc>
          <w:tcPr>
            <w:tcW w:w="5386" w:type="dxa"/>
            <w:shd w:val="clear" w:color="auto" w:fill="DCE6F1"/>
          </w:tcPr>
          <w:p w14:paraId="7239C2E9" w14:textId="77777777" w:rsidR="007B2993" w:rsidRDefault="00000000">
            <w:r>
              <w:rPr>
                <w:sz w:val="20"/>
              </w:rPr>
              <w:t>We concur. Section 5.1.4 (Limitations of baseline comparisons) now explicitly states that GED-GARCH and semi-parametric alternatives (Engle &amp; Gonzalez-Rivera 1991) should be included in comprehensive future evaluations, while explaining why the current focus on Normal and sstd is justified by widespread practice and computational feasibility. The existing Section 5.3.2 contextualises NF-GARCH against kernel-density estimation, GANs, and end-to-end deep learning.</w:t>
            </w:r>
            <w:r>
              <w:rPr>
                <w:sz w:val="20"/>
              </w:rPr>
              <w:br/>
            </w:r>
            <w:r>
              <w:rPr>
                <w:sz w:val="20"/>
              </w:rPr>
              <w:br/>
            </w:r>
            <w:r w:rsidRPr="00DD33A9">
              <w:rPr>
                <w:i/>
                <w:iCs/>
                <w:sz w:val="20"/>
              </w:rPr>
              <w:t>Manuscript change: Section 5.1.4 text revised; comparison section retained.</w:t>
            </w:r>
          </w:p>
        </w:tc>
      </w:tr>
      <w:tr w:rsidR="007B2993" w14:paraId="7697B1CC" w14:textId="77777777">
        <w:trPr>
          <w:jc w:val="center"/>
        </w:trPr>
        <w:tc>
          <w:tcPr>
            <w:tcW w:w="4252" w:type="dxa"/>
            <w:shd w:val="clear" w:color="auto" w:fill="FFFFFF"/>
          </w:tcPr>
          <w:p w14:paraId="29C50BEE" w14:textId="77777777" w:rsidR="007B2993" w:rsidRDefault="00000000">
            <w:r>
              <w:rPr>
                <w:sz w:val="20"/>
              </w:rPr>
              <w:t>Comment 4</w:t>
            </w:r>
          </w:p>
          <w:p w14:paraId="07676376" w14:textId="77777777" w:rsidR="007B2993" w:rsidRDefault="00000000">
            <w:r>
              <w:rPr>
                <w:i/>
                <w:sz w:val="20"/>
              </w:rPr>
              <w:t xml:space="preserve">The two-stage estimation may induce efficiency </w:t>
            </w:r>
            <w:r>
              <w:rPr>
                <w:i/>
                <w:sz w:val="20"/>
              </w:rPr>
              <w:lastRenderedPageBreak/>
              <w:t>loss relative to joint estimation, which is not sufficiently quantified.</w:t>
            </w:r>
          </w:p>
        </w:tc>
        <w:tc>
          <w:tcPr>
            <w:tcW w:w="5386" w:type="dxa"/>
            <w:shd w:val="clear" w:color="auto" w:fill="FFFFFF"/>
          </w:tcPr>
          <w:p w14:paraId="245F499C" w14:textId="77777777" w:rsidR="007B2993" w:rsidRDefault="00000000">
            <w:r>
              <w:rPr>
                <w:sz w:val="20"/>
              </w:rPr>
              <w:lastRenderedPageBreak/>
              <w:t xml:space="preserve">Section 4.4 (Theoretical Properties of Two-Stage Estimation) has been revised to clarify that two-stage </w:t>
            </w:r>
            <w:r>
              <w:rPr>
                <w:sz w:val="20"/>
              </w:rPr>
              <w:lastRenderedPageBreak/>
              <w:t>estimation loses the cross-equation information between GARCH and flow parameters relative to joint MLE, and that formal efficiency comparison with one-step extremum estimators is left for future work. We retain the justification for two-stage (tractability, stability, identifiability separation) while being more explicit about the efficiency cost.</w:t>
            </w:r>
            <w:r>
              <w:rPr>
                <w:sz w:val="20"/>
              </w:rPr>
              <w:br/>
            </w:r>
            <w:r>
              <w:rPr>
                <w:sz w:val="20"/>
              </w:rPr>
              <w:br/>
            </w:r>
            <w:r w:rsidRPr="00DD33A9">
              <w:rPr>
                <w:i/>
                <w:iCs/>
                <w:sz w:val="20"/>
              </w:rPr>
              <w:t>Manuscript change: Section 4.4 revised.</w:t>
            </w:r>
          </w:p>
        </w:tc>
      </w:tr>
      <w:tr w:rsidR="007B2993" w14:paraId="2B71D303" w14:textId="77777777">
        <w:trPr>
          <w:jc w:val="center"/>
        </w:trPr>
        <w:tc>
          <w:tcPr>
            <w:tcW w:w="4252" w:type="dxa"/>
            <w:shd w:val="clear" w:color="auto" w:fill="DCE6F1"/>
          </w:tcPr>
          <w:p w14:paraId="348CCDEE" w14:textId="77777777" w:rsidR="007B2993" w:rsidRDefault="00000000">
            <w:r>
              <w:rPr>
                <w:sz w:val="20"/>
              </w:rPr>
              <w:lastRenderedPageBreak/>
              <w:t>Comment 5</w:t>
            </w:r>
          </w:p>
          <w:p w14:paraId="18C4EFD1" w14:textId="77777777" w:rsidR="007B2993" w:rsidRDefault="00000000">
            <w:r>
              <w:rPr>
                <w:i/>
                <w:sz w:val="20"/>
              </w:rPr>
              <w:t>The assumption of time-invariant residual distributions may not hold in periods of structural change or crises.</w:t>
            </w:r>
          </w:p>
        </w:tc>
        <w:tc>
          <w:tcPr>
            <w:tcW w:w="5386" w:type="dxa"/>
            <w:shd w:val="clear" w:color="auto" w:fill="DCE6F1"/>
          </w:tcPr>
          <w:p w14:paraId="5630DBEC" w14:textId="77777777" w:rsidR="007B2993" w:rsidRDefault="00000000">
            <w:r>
              <w:rPr>
                <w:sz w:val="20"/>
              </w:rPr>
              <w:t>Section 4.5 (Conditional vs. Unconditional Innovation Modelling) explicitly acknowledges this limitation and describes the structural-break and rolling-variance checks performed to validate the time-invariance assumption in-sample. The stress-testing results (Section 5.4) illustrate directly that NF-GARCH's advantage narrows in crisis regimes, consistent with this architectural constraint.</w:t>
            </w:r>
            <w:r>
              <w:rPr>
                <w:sz w:val="20"/>
              </w:rPr>
              <w:br/>
            </w:r>
            <w:r>
              <w:rPr>
                <w:sz w:val="20"/>
              </w:rPr>
              <w:br/>
            </w:r>
            <w:r w:rsidRPr="00DD33A9">
              <w:rPr>
                <w:i/>
                <w:iCs/>
                <w:sz w:val="20"/>
              </w:rPr>
              <w:t>Manuscript change: Sections 4.5 and 5.4 cross-referenced in Limitations.</w:t>
            </w:r>
          </w:p>
        </w:tc>
      </w:tr>
      <w:tr w:rsidR="007B2993" w14:paraId="0F48391E" w14:textId="77777777">
        <w:trPr>
          <w:jc w:val="center"/>
        </w:trPr>
        <w:tc>
          <w:tcPr>
            <w:tcW w:w="4252" w:type="dxa"/>
            <w:shd w:val="clear" w:color="auto" w:fill="FFFFFF"/>
          </w:tcPr>
          <w:p w14:paraId="48B8F19B" w14:textId="77777777" w:rsidR="007B2993" w:rsidRDefault="00000000">
            <w:r>
              <w:rPr>
                <w:sz w:val="20"/>
              </w:rPr>
              <w:t>Comment 6</w:t>
            </w:r>
          </w:p>
          <w:p w14:paraId="7A19A723" w14:textId="77777777" w:rsidR="007B2993" w:rsidRDefault="00000000">
            <w:r>
              <w:rPr>
                <w:i/>
                <w:sz w:val="20"/>
              </w:rPr>
              <w:t>The instability and failure of the NF-eGARCH specification are not sufficiently investigated.</w:t>
            </w:r>
          </w:p>
        </w:tc>
        <w:tc>
          <w:tcPr>
            <w:tcW w:w="5386" w:type="dxa"/>
            <w:shd w:val="clear" w:color="auto" w:fill="FFFFFF"/>
          </w:tcPr>
          <w:p w14:paraId="452DF621" w14:textId="72BFC8E0" w:rsidR="007B2993" w:rsidRDefault="00000000">
            <w:r>
              <w:rPr>
                <w:sz w:val="20"/>
              </w:rPr>
              <w:t xml:space="preserve">Section 5.3.4 ('Why EGARCH underperforms with Flow-Based Innovations') </w:t>
            </w:r>
            <w:r w:rsidR="00B23E69">
              <w:rPr>
                <w:sz w:val="20"/>
              </w:rPr>
              <w:t xml:space="preserve">now </w:t>
            </w:r>
            <w:r>
              <w:rPr>
                <w:sz w:val="20"/>
              </w:rPr>
              <w:t>provides a dedicated structural analysis with two mechanisms: (1) log-variance amplification of flow-generated tail irregularities through the exponential transformation; (2) parameter redundancy between EGARCH's asymmetric gamma term and the flow's skewness modelling, causing weak likelihood identification. Extreme errors (4.15E+66) and 12/13 convergence failures are documented. Rothenberg (1971) and Francq &amp; Zakoian (2010) are cited to ground the identifiability argument.</w:t>
            </w:r>
            <w:r>
              <w:rPr>
                <w:sz w:val="20"/>
              </w:rPr>
              <w:br/>
            </w:r>
            <w:r>
              <w:rPr>
                <w:sz w:val="20"/>
              </w:rPr>
              <w:br/>
            </w:r>
            <w:r w:rsidRPr="00DD33A9">
              <w:rPr>
                <w:i/>
                <w:iCs/>
                <w:sz w:val="20"/>
              </w:rPr>
              <w:t>Manuscript change: Section 5.3.4 retained and expanded.</w:t>
            </w:r>
          </w:p>
        </w:tc>
      </w:tr>
      <w:tr w:rsidR="007B2993" w14:paraId="6FBE600C" w14:textId="77777777">
        <w:trPr>
          <w:jc w:val="center"/>
        </w:trPr>
        <w:tc>
          <w:tcPr>
            <w:tcW w:w="4252" w:type="dxa"/>
            <w:shd w:val="clear" w:color="auto" w:fill="DCE6F1"/>
          </w:tcPr>
          <w:p w14:paraId="60C3E14E" w14:textId="77777777" w:rsidR="007B2993" w:rsidRDefault="00000000">
            <w:r>
              <w:rPr>
                <w:sz w:val="20"/>
              </w:rPr>
              <w:t>Comment 7</w:t>
            </w:r>
          </w:p>
          <w:p w14:paraId="55A74A05" w14:textId="77777777" w:rsidR="007B2993" w:rsidRDefault="00000000">
            <w:r>
              <w:rPr>
                <w:i/>
                <w:sz w:val="20"/>
              </w:rPr>
              <w:t>The identifiability issue between volatility dynamics and flow transformations is not empirically validated.</w:t>
            </w:r>
          </w:p>
        </w:tc>
        <w:tc>
          <w:tcPr>
            <w:tcW w:w="5386" w:type="dxa"/>
            <w:shd w:val="clear" w:color="auto" w:fill="DCE6F1"/>
          </w:tcPr>
          <w:p w14:paraId="0DCF961C" w14:textId="77777777" w:rsidR="007B2993" w:rsidRDefault="00000000">
            <w:r>
              <w:rPr>
                <w:sz w:val="20"/>
              </w:rPr>
              <w:t>Direct validation (e.g., Fisher information rank tests) requires joint estimation, which we deliberately avoid. We provide two forms of indirect evidence: (a) NF-EGARCH fails in 12/13 assets while NF-TGARCH and NF-gjrGARCH succeed, consistent with log-variance + flow skewness being redundant while linear scale + flow is separable; (b) the Wilcoxon significance pattern (sGARCH-norm shows no improvement; sGARCH-sstd does) is consistent with the flow recovering only residual structure not already captured by the parametric innovation. We note that formal identifiability analysis for two-stage flow-GARCH remains an open theoretical problem.</w:t>
            </w:r>
            <w:r>
              <w:rPr>
                <w:sz w:val="20"/>
              </w:rPr>
              <w:br/>
            </w:r>
            <w:r>
              <w:rPr>
                <w:sz w:val="20"/>
              </w:rPr>
              <w:br/>
            </w:r>
            <w:r w:rsidRPr="00DD33A9">
              <w:rPr>
                <w:i/>
                <w:iCs/>
                <w:sz w:val="20"/>
              </w:rPr>
              <w:t>Manuscript change: Noted in Section 5.3.4 'Parameter redundancy and identifiability'.</w:t>
            </w:r>
          </w:p>
        </w:tc>
      </w:tr>
      <w:tr w:rsidR="007B2993" w14:paraId="6B02C529" w14:textId="77777777">
        <w:trPr>
          <w:jc w:val="center"/>
        </w:trPr>
        <w:tc>
          <w:tcPr>
            <w:tcW w:w="4252" w:type="dxa"/>
            <w:shd w:val="clear" w:color="auto" w:fill="FFFFFF"/>
          </w:tcPr>
          <w:p w14:paraId="7577AF2E" w14:textId="77777777" w:rsidR="007B2993" w:rsidRDefault="00000000">
            <w:r>
              <w:rPr>
                <w:sz w:val="20"/>
              </w:rPr>
              <w:t>Comment 8</w:t>
            </w:r>
          </w:p>
          <w:p w14:paraId="0B887D9C" w14:textId="77777777" w:rsidR="007B2993" w:rsidRDefault="00000000">
            <w:r>
              <w:rPr>
                <w:i/>
                <w:sz w:val="20"/>
              </w:rPr>
              <w:t>The dataset is limited to 13 liquid assets, restricting generalizability.</w:t>
            </w:r>
          </w:p>
        </w:tc>
        <w:tc>
          <w:tcPr>
            <w:tcW w:w="5386" w:type="dxa"/>
            <w:shd w:val="clear" w:color="auto" w:fill="FFFFFF"/>
          </w:tcPr>
          <w:p w14:paraId="0E4793EE" w14:textId="77777777" w:rsidR="007B2993" w:rsidRDefault="00000000">
            <w:r>
              <w:rPr>
                <w:sz w:val="20"/>
              </w:rPr>
              <w:t>Acknowledged in Sections 3.1 and 5.5. An asset selection rationale paragraph now explicitly cautions that results may not generalise to commodities, fixed income, or illiquid frontier markets, and names broadening asset coverage as a priority future research direction.</w:t>
            </w:r>
            <w:r>
              <w:rPr>
                <w:sz w:val="20"/>
              </w:rPr>
              <w:br/>
            </w:r>
            <w:r>
              <w:rPr>
                <w:sz w:val="20"/>
              </w:rPr>
              <w:br/>
            </w:r>
            <w:r w:rsidRPr="00DD33A9">
              <w:rPr>
                <w:i/>
                <w:iCs/>
                <w:sz w:val="20"/>
              </w:rPr>
              <w:t>Manuscript change: Asset selection rationale paragraph added in Section 3.1.</w:t>
            </w:r>
          </w:p>
        </w:tc>
      </w:tr>
      <w:tr w:rsidR="007B2993" w14:paraId="32FC96A2" w14:textId="77777777">
        <w:trPr>
          <w:jc w:val="center"/>
        </w:trPr>
        <w:tc>
          <w:tcPr>
            <w:tcW w:w="4252" w:type="dxa"/>
            <w:shd w:val="clear" w:color="auto" w:fill="DCE6F1"/>
          </w:tcPr>
          <w:p w14:paraId="64529C78" w14:textId="77777777" w:rsidR="007B2993" w:rsidRDefault="00000000">
            <w:r>
              <w:rPr>
                <w:sz w:val="20"/>
              </w:rPr>
              <w:t>Comment 9</w:t>
            </w:r>
          </w:p>
          <w:p w14:paraId="50499B0F" w14:textId="77777777" w:rsidR="007B2993" w:rsidRDefault="00000000">
            <w:r>
              <w:rPr>
                <w:i/>
                <w:sz w:val="20"/>
              </w:rPr>
              <w:lastRenderedPageBreak/>
              <w:t>The computational cost is higher than standard GARCH models without a formal efficiency comparison.</w:t>
            </w:r>
          </w:p>
        </w:tc>
        <w:tc>
          <w:tcPr>
            <w:tcW w:w="5386" w:type="dxa"/>
            <w:shd w:val="clear" w:color="auto" w:fill="DCE6F1"/>
          </w:tcPr>
          <w:p w14:paraId="32CE64C5" w14:textId="77777777" w:rsidR="007B2993" w:rsidRDefault="00000000">
            <w:r>
              <w:rPr>
                <w:sz w:val="20"/>
              </w:rPr>
              <w:lastRenderedPageBreak/>
              <w:t xml:space="preserve">Section 5.5 acknowledges increased computational cost. A </w:t>
            </w:r>
            <w:r>
              <w:rPr>
                <w:sz w:val="20"/>
              </w:rPr>
              <w:lastRenderedPageBreak/>
              <w:t>formal wall-clock comparison is not included because timing depends on hardware and parallelisation choices; we note that the two-stage design allows independent optimisation of each component, partially mitigating overhead. Formal complexity analysis is flagged as future work.</w:t>
            </w:r>
            <w:r>
              <w:rPr>
                <w:sz w:val="20"/>
              </w:rPr>
              <w:br/>
            </w:r>
            <w:r>
              <w:rPr>
                <w:sz w:val="20"/>
              </w:rPr>
              <w:br/>
            </w:r>
            <w:r w:rsidRPr="00DD33A9">
              <w:rPr>
                <w:i/>
                <w:iCs/>
                <w:sz w:val="20"/>
              </w:rPr>
              <w:t>Manuscript change: Noted in Section 5.5.</w:t>
            </w:r>
          </w:p>
        </w:tc>
      </w:tr>
      <w:tr w:rsidR="007B2993" w14:paraId="5C8E90E9" w14:textId="77777777">
        <w:trPr>
          <w:jc w:val="center"/>
        </w:trPr>
        <w:tc>
          <w:tcPr>
            <w:tcW w:w="4252" w:type="dxa"/>
            <w:shd w:val="clear" w:color="auto" w:fill="FFFFFF"/>
          </w:tcPr>
          <w:p w14:paraId="1F2BA01E" w14:textId="77777777" w:rsidR="007B2993" w:rsidRDefault="00000000">
            <w:r>
              <w:rPr>
                <w:sz w:val="20"/>
              </w:rPr>
              <w:lastRenderedPageBreak/>
              <w:t>Comment 11</w:t>
            </w:r>
          </w:p>
          <w:p w14:paraId="67AA5B83" w14:textId="77777777" w:rsidR="007B2993" w:rsidRDefault="00000000">
            <w:r>
              <w:rPr>
                <w:i/>
                <w:sz w:val="20"/>
              </w:rPr>
              <w:t>The VaR backtesting results (perfect calibration) appear unrealistic and may reflect low test power or overly conservative estimates.</w:t>
            </w:r>
          </w:p>
        </w:tc>
        <w:tc>
          <w:tcPr>
            <w:tcW w:w="5386" w:type="dxa"/>
            <w:shd w:val="clear" w:color="auto" w:fill="FFFFFF"/>
          </w:tcPr>
          <w:p w14:paraId="0D85AEC6" w14:textId="77777777" w:rsidR="007B2993" w:rsidRDefault="00000000">
            <w:r>
              <w:rPr>
                <w:sz w:val="20"/>
              </w:rPr>
              <w:t>Footnotes b and f have been added to Tables 12 and 13, explaining that: (i) entries are pooled averages across model-asset cells; (ii) identical p-values in Table 13 reflect limited backtest power at this sample size and uniformly conservative exceedance rates, not model indistinguishability; (iii) high p-values mean we cannot reject correct unconditional coverage, which may reflect conservative calibration rather than exact calibration — a distinction now made explicit in the table footnotes and in Section 5.3.3.</w:t>
            </w:r>
            <w:r>
              <w:rPr>
                <w:sz w:val="20"/>
              </w:rPr>
              <w:br/>
            </w:r>
            <w:r>
              <w:rPr>
                <w:sz w:val="20"/>
              </w:rPr>
              <w:br/>
            </w:r>
            <w:r w:rsidRPr="00DD33A9">
              <w:rPr>
                <w:i/>
                <w:iCs/>
                <w:sz w:val="20"/>
              </w:rPr>
              <w:t>Manuscript change: Footnotes b and f added to Tables 12–13; Section 5.3.3 revised.</w:t>
            </w:r>
          </w:p>
        </w:tc>
      </w:tr>
      <w:tr w:rsidR="007B2993" w14:paraId="2226A677" w14:textId="77777777">
        <w:trPr>
          <w:jc w:val="center"/>
        </w:trPr>
        <w:tc>
          <w:tcPr>
            <w:tcW w:w="4252" w:type="dxa"/>
            <w:shd w:val="clear" w:color="auto" w:fill="DCE6F1"/>
          </w:tcPr>
          <w:p w14:paraId="645A1036" w14:textId="77777777" w:rsidR="007B2993" w:rsidRDefault="00000000">
            <w:r>
              <w:rPr>
                <w:sz w:val="20"/>
              </w:rPr>
              <w:t>Comment 12</w:t>
            </w:r>
          </w:p>
          <w:p w14:paraId="6E2CD216" w14:textId="77777777" w:rsidR="007B2993" w:rsidRDefault="00000000">
            <w:r>
              <w:rPr>
                <w:i/>
                <w:sz w:val="20"/>
              </w:rPr>
              <w:t>The stress-testing results show weak or inconsistent improvements during crisis periods.</w:t>
            </w:r>
          </w:p>
        </w:tc>
        <w:tc>
          <w:tcPr>
            <w:tcW w:w="5386" w:type="dxa"/>
            <w:shd w:val="clear" w:color="auto" w:fill="DCE6F1"/>
          </w:tcPr>
          <w:p w14:paraId="48849A77" w14:textId="77777777" w:rsidR="007B2993" w:rsidRDefault="00000000">
            <w:r>
              <w:rPr>
                <w:sz w:val="20"/>
              </w:rPr>
              <w:t>Section 5.4 now explicitly traces gjrGARCH's large COVID deterioration (-24.6 %) to the time-invariant innovation assumption: the flow trained on full-sample residuals cannot adapt to the structural regime shift of the COVID crash. Footnote a on the crisis table reconciles the eGARCH N=1 vs N=12 apparent inconsistency. Regime-switching conditional flows are named as a specific future research direction in the Conclusion.</w:t>
            </w:r>
            <w:r>
              <w:rPr>
                <w:sz w:val="20"/>
              </w:rPr>
              <w:br/>
            </w:r>
            <w:r>
              <w:rPr>
                <w:sz w:val="20"/>
              </w:rPr>
              <w:br/>
            </w:r>
            <w:r w:rsidRPr="00DD33A9">
              <w:rPr>
                <w:i/>
                <w:iCs/>
                <w:sz w:val="20"/>
              </w:rPr>
              <w:t>Manuscript change: Footnote a added; Section 5.4 cross-references Section 4.5.</w:t>
            </w:r>
          </w:p>
        </w:tc>
      </w:tr>
      <w:tr w:rsidR="007B2993" w14:paraId="45289EF6" w14:textId="77777777">
        <w:trPr>
          <w:jc w:val="center"/>
        </w:trPr>
        <w:tc>
          <w:tcPr>
            <w:tcW w:w="4252" w:type="dxa"/>
            <w:shd w:val="clear" w:color="auto" w:fill="FFFFFF"/>
          </w:tcPr>
          <w:p w14:paraId="3FCCF7E6" w14:textId="77777777" w:rsidR="007B2993" w:rsidRDefault="00000000">
            <w:r>
              <w:rPr>
                <w:sz w:val="20"/>
              </w:rPr>
              <w:t>Comment 13</w:t>
            </w:r>
          </w:p>
          <w:p w14:paraId="354F1623" w14:textId="77777777" w:rsidR="007B2993" w:rsidRDefault="00000000">
            <w:r>
              <w:rPr>
                <w:i/>
                <w:sz w:val="20"/>
              </w:rPr>
              <w:t>The paper lacks strong economic interpretation of the results beyond statistical metrics.</w:t>
            </w:r>
          </w:p>
        </w:tc>
        <w:tc>
          <w:tcPr>
            <w:tcW w:w="5386" w:type="dxa"/>
            <w:shd w:val="clear" w:color="auto" w:fill="FFFFFF"/>
          </w:tcPr>
          <w:p w14:paraId="3610FF8D" w14:textId="77777777" w:rsidR="007B2993" w:rsidRDefault="00000000">
            <w:r>
              <w:rPr>
                <w:sz w:val="20"/>
              </w:rPr>
              <w:t>Section 5.5 now contains a 'When to prefer NF-GARCH' block with explicit economic interpretation: residual tail repair without respecifying sigma^2_t; alignment with regulatory interest in auditable risk engines; practical conditions under which NF-GARCH is and is not recommended. Sections 5.3.1 and 5.3.2 contextualise the magnitude of improvements relative to semi-parametric benchmarks.</w:t>
            </w:r>
            <w:r>
              <w:rPr>
                <w:sz w:val="20"/>
              </w:rPr>
              <w:br/>
            </w:r>
            <w:r>
              <w:rPr>
                <w:sz w:val="20"/>
              </w:rPr>
              <w:br/>
            </w:r>
            <w:r w:rsidRPr="00DD33A9">
              <w:rPr>
                <w:i/>
                <w:iCs/>
                <w:sz w:val="20"/>
              </w:rPr>
              <w:t>Manuscript change: 'When to prefer NF-GARCH' block added in Section 5.5.</w:t>
            </w:r>
          </w:p>
        </w:tc>
      </w:tr>
      <w:tr w:rsidR="007B2993" w14:paraId="079FE231" w14:textId="77777777">
        <w:trPr>
          <w:jc w:val="center"/>
        </w:trPr>
        <w:tc>
          <w:tcPr>
            <w:tcW w:w="4252" w:type="dxa"/>
            <w:shd w:val="clear" w:color="auto" w:fill="DCE6F1"/>
          </w:tcPr>
          <w:p w14:paraId="42671BEF" w14:textId="77777777" w:rsidR="007B2993" w:rsidRDefault="00000000">
            <w:r>
              <w:rPr>
                <w:sz w:val="20"/>
              </w:rPr>
              <w:t>Comment 15</w:t>
            </w:r>
          </w:p>
          <w:p w14:paraId="08A76E21" w14:textId="77777777" w:rsidR="007B2993" w:rsidRDefault="00000000">
            <w:r>
              <w:rPr>
                <w:i/>
                <w:sz w:val="20"/>
              </w:rPr>
              <w:t>The paper does not clearly identify the conditions under which NF-GARCH should be preferred over standard models.</w:t>
            </w:r>
          </w:p>
        </w:tc>
        <w:tc>
          <w:tcPr>
            <w:tcW w:w="5386" w:type="dxa"/>
            <w:shd w:val="clear" w:color="auto" w:fill="DCE6F1"/>
          </w:tcPr>
          <w:p w14:paraId="1A389459" w14:textId="77777777" w:rsidR="007B2993" w:rsidRDefault="00000000">
            <w:r>
              <w:rPr>
                <w:sz w:val="20"/>
              </w:rPr>
              <w:t>Directly addressed by the 'When to prefer NF-GARCH' block in Section 5.5, which lists three conditions favouring NF-GARCH (skewed-t baseline, distributional realism requirement, modularity priority) and three where it is a weaker candidate (Gaussian baseline suffices, crisis regime, eGARCH asymmetry paired with flow).</w:t>
            </w:r>
            <w:r>
              <w:rPr>
                <w:sz w:val="20"/>
              </w:rPr>
              <w:br/>
            </w:r>
            <w:r>
              <w:rPr>
                <w:sz w:val="20"/>
              </w:rPr>
              <w:br/>
            </w:r>
            <w:r w:rsidRPr="00DD33A9">
              <w:rPr>
                <w:i/>
                <w:iCs/>
                <w:sz w:val="20"/>
              </w:rPr>
              <w:t>Manuscript change: Section 5.5 'When to prefer NF-GARCH' block added.</w:t>
            </w:r>
          </w:p>
        </w:tc>
      </w:tr>
    </w:tbl>
    <w:p w14:paraId="1BB52CB2" w14:textId="77777777" w:rsidR="007B2993" w:rsidRDefault="00000000">
      <w:r>
        <w:br w:type="page"/>
      </w:r>
    </w:p>
    <w:p w14:paraId="108079AA" w14:textId="77777777" w:rsidR="007B2993" w:rsidRDefault="00000000" w:rsidP="00B23E69">
      <w:pPr>
        <w:pStyle w:val="Heading1"/>
      </w:pPr>
      <w:r>
        <w:rPr>
          <w:b/>
        </w:rPr>
        <w:lastRenderedPageBreak/>
        <w:t>Reviewer 2</w:t>
      </w:r>
    </w:p>
    <w:p w14:paraId="2BC82FCC" w14:textId="77777777" w:rsidR="007B2993" w:rsidRDefault="00000000">
      <w:r>
        <w:t>We thank Reviewer 2 for the detailed section-by-section feedback. Regarding the AI similarity score of 48%: technical academic writing in financial econometrics inherently shares standard notation, equation forms, and terminology with prior work. All identified overlaps are either standard GARCH notation, properly cited prior results, or co-authored material from the broader research project. The empirical results, datasets, analysis pipeline, and conclusions are entirely original. Each section-level comment is addressed below.</w:t>
      </w:r>
    </w:p>
    <w:p w14:paraId="39DE7210" w14:textId="77777777" w:rsidR="007B2993" w:rsidRDefault="007B2993"/>
    <w:tbl>
      <w:tblPr>
        <w:tblStyle w:val="TableGrid"/>
        <w:tblW w:w="0" w:type="auto"/>
        <w:jc w:val="center"/>
        <w:tblLook w:val="04A0" w:firstRow="1" w:lastRow="0" w:firstColumn="1" w:lastColumn="0" w:noHBand="0" w:noVBand="1"/>
      </w:tblPr>
      <w:tblGrid>
        <w:gridCol w:w="4246"/>
        <w:gridCol w:w="5376"/>
      </w:tblGrid>
      <w:tr w:rsidR="007B2993" w14:paraId="19B6AB79" w14:textId="77777777">
        <w:trPr>
          <w:jc w:val="center"/>
        </w:trPr>
        <w:tc>
          <w:tcPr>
            <w:tcW w:w="4252" w:type="dxa"/>
            <w:shd w:val="clear" w:color="auto" w:fill="1F497D"/>
          </w:tcPr>
          <w:p w14:paraId="25CA9832" w14:textId="77777777" w:rsidR="007B2993" w:rsidRDefault="00000000">
            <w:r>
              <w:rPr>
                <w:b/>
                <w:color w:val="FFFFFF"/>
              </w:rPr>
              <w:t>Reviewer Comments</w:t>
            </w:r>
          </w:p>
        </w:tc>
        <w:tc>
          <w:tcPr>
            <w:tcW w:w="5386" w:type="dxa"/>
            <w:shd w:val="clear" w:color="auto" w:fill="1F497D"/>
          </w:tcPr>
          <w:p w14:paraId="683D7B78" w14:textId="77777777" w:rsidR="007B2993" w:rsidRDefault="00000000">
            <w:r>
              <w:rPr>
                <w:b/>
                <w:color w:val="FFFFFF"/>
              </w:rPr>
              <w:t>Author Response and Action</w:t>
            </w:r>
          </w:p>
        </w:tc>
      </w:tr>
      <w:tr w:rsidR="007B2993" w14:paraId="38556591" w14:textId="77777777">
        <w:trPr>
          <w:jc w:val="center"/>
        </w:trPr>
        <w:tc>
          <w:tcPr>
            <w:tcW w:w="4252" w:type="dxa"/>
            <w:shd w:val="clear" w:color="auto" w:fill="DCE6F1"/>
          </w:tcPr>
          <w:p w14:paraId="0FDD049F" w14:textId="77777777" w:rsidR="007B2993" w:rsidRDefault="00000000">
            <w:r>
              <w:rPr>
                <w:sz w:val="20"/>
              </w:rPr>
              <w:t>Abstract</w:t>
            </w:r>
          </w:p>
          <w:p w14:paraId="2D06FC10" w14:textId="77777777" w:rsidR="007B2993" w:rsidRDefault="00000000">
            <w:r>
              <w:rPr>
                <w:i/>
                <w:sz w:val="20"/>
              </w:rPr>
              <w:t>Limited discussion of practical or economic implications (e.g., implications for risk management or forecasting).</w:t>
            </w:r>
          </w:p>
        </w:tc>
        <w:tc>
          <w:tcPr>
            <w:tcW w:w="5386" w:type="dxa"/>
            <w:shd w:val="clear" w:color="auto" w:fill="DCE6F1"/>
          </w:tcPr>
          <w:p w14:paraId="0000C36A" w14:textId="77777777" w:rsidR="007B2993" w:rsidRDefault="00000000">
            <w:r>
              <w:rPr>
                <w:sz w:val="20"/>
              </w:rPr>
              <w:t>The abstract has been revised to include: 'For risk management, gains are most relevant where skewed-t baselines are used and where closer residual realism supports scenario analysis; effect sizes remain modest relative to model risk and implementation cost.'</w:t>
            </w:r>
            <w:r>
              <w:rPr>
                <w:sz w:val="20"/>
              </w:rPr>
              <w:br/>
            </w:r>
            <w:r>
              <w:rPr>
                <w:sz w:val="20"/>
              </w:rPr>
              <w:br/>
            </w:r>
            <w:r w:rsidRPr="00DD33A9">
              <w:rPr>
                <w:i/>
                <w:iCs/>
                <w:sz w:val="20"/>
              </w:rPr>
              <w:t>Manuscript change: Abstract revised.</w:t>
            </w:r>
          </w:p>
        </w:tc>
      </w:tr>
      <w:tr w:rsidR="007B2993" w14:paraId="6CD47EC8" w14:textId="77777777">
        <w:trPr>
          <w:jc w:val="center"/>
        </w:trPr>
        <w:tc>
          <w:tcPr>
            <w:tcW w:w="4252" w:type="dxa"/>
            <w:shd w:val="clear" w:color="auto" w:fill="FFFFFF"/>
          </w:tcPr>
          <w:p w14:paraId="3F263E06" w14:textId="77777777" w:rsidR="007B2993" w:rsidRDefault="00000000">
            <w:r>
              <w:rPr>
                <w:sz w:val="20"/>
              </w:rPr>
              <w:t>Introduction</w:t>
            </w:r>
          </w:p>
          <w:p w14:paraId="39264558" w14:textId="77777777" w:rsidR="007B2993" w:rsidRDefault="00000000">
            <w:r>
              <w:rPr>
                <w:i/>
                <w:sz w:val="20"/>
              </w:rPr>
              <w:t>The research gap is not sharply articulated. The contribution appears somewhat implicit rather than explicitly stated.</w:t>
            </w:r>
          </w:p>
        </w:tc>
        <w:tc>
          <w:tcPr>
            <w:tcW w:w="5386" w:type="dxa"/>
            <w:shd w:val="clear" w:color="auto" w:fill="FFFFFF"/>
          </w:tcPr>
          <w:p w14:paraId="0C3F20A8" w14:textId="77777777" w:rsidR="007B2993" w:rsidRDefault="00000000">
            <w:r>
              <w:rPr>
                <w:sz w:val="20"/>
              </w:rPr>
              <w:t>A 'Research gap and contributions' paragraph has been added in Section 1, explicitly positioning NF-GARCH against (a) semi-parametric/kernel approaches, (b) joint (end-to-end) flow-GARCH estimation, and (c) parametric skewed families, with five specific contributions listed.</w:t>
            </w:r>
            <w:r>
              <w:rPr>
                <w:sz w:val="20"/>
              </w:rPr>
              <w:br/>
            </w:r>
            <w:r>
              <w:rPr>
                <w:sz w:val="20"/>
              </w:rPr>
              <w:br/>
            </w:r>
            <w:r w:rsidRPr="00DD33A9">
              <w:rPr>
                <w:i/>
                <w:iCs/>
                <w:sz w:val="20"/>
              </w:rPr>
              <w:t>Manuscript change: Research gap and contributions paragraph added in Section 1.</w:t>
            </w:r>
          </w:p>
        </w:tc>
      </w:tr>
      <w:tr w:rsidR="007B2993" w14:paraId="5098973C" w14:textId="77777777">
        <w:trPr>
          <w:jc w:val="center"/>
        </w:trPr>
        <w:tc>
          <w:tcPr>
            <w:tcW w:w="4252" w:type="dxa"/>
            <w:shd w:val="clear" w:color="auto" w:fill="DCE6F1"/>
          </w:tcPr>
          <w:p w14:paraId="2F10AFE0" w14:textId="77777777" w:rsidR="007B2993" w:rsidRDefault="00000000">
            <w:r>
              <w:rPr>
                <w:sz w:val="20"/>
              </w:rPr>
              <w:t>Literature Review</w:t>
            </w:r>
          </w:p>
          <w:p w14:paraId="2E37E989" w14:textId="77777777" w:rsidR="007B2993" w:rsidRDefault="00000000">
            <w:r>
              <w:rPr>
                <w:i/>
                <w:sz w:val="20"/>
              </w:rPr>
              <w:t>Limited critical comparison between approaches. Insufficient positioning relative to recent hybrid methods. Highlight clearly how the proposed framework advances the literature.</w:t>
            </w:r>
          </w:p>
        </w:tc>
        <w:tc>
          <w:tcPr>
            <w:tcW w:w="5386" w:type="dxa"/>
            <w:shd w:val="clear" w:color="auto" w:fill="DCE6F1"/>
          </w:tcPr>
          <w:p w14:paraId="3206F959" w14:textId="787C4F9C" w:rsidR="007B2993" w:rsidRDefault="00000000">
            <w:r>
              <w:rPr>
                <w:sz w:val="20"/>
              </w:rPr>
              <w:t xml:space="preserve">Section 2 (Background) discusses limitations of semi-parametric approaches, LSTM-GARCH hybrids, and kernel-density methods. Section 5.3.2 ('Comparison with alternative flexible innovation methods') provides a detailed comparison against Fernandez-Steel skewed-t, Engle &amp; Gonzalez-Rivera (1991) kernel-density, GANs, and end-to-end deep learning </w:t>
            </w:r>
            <w:r w:rsidR="00B23E69">
              <w:rPr>
                <w:sz w:val="20"/>
              </w:rPr>
              <w:t>-</w:t>
            </w:r>
            <w:r>
              <w:rPr>
                <w:sz w:val="20"/>
              </w:rPr>
              <w:t xml:space="preserve"> with explicit positioning of NF-GARCH's advantages (exact likelihood, interpretability, modularity, no bandwidth selection).</w:t>
            </w:r>
            <w:r>
              <w:rPr>
                <w:sz w:val="20"/>
              </w:rPr>
              <w:br/>
            </w:r>
            <w:r>
              <w:rPr>
                <w:sz w:val="20"/>
              </w:rPr>
              <w:br/>
            </w:r>
            <w:r w:rsidRPr="00DD33A9">
              <w:rPr>
                <w:i/>
                <w:iCs/>
                <w:sz w:val="20"/>
              </w:rPr>
              <w:t>Manuscript change: Section 5.3.2 retained; research gap paragraph in Section 1 clarifies positioning.</w:t>
            </w:r>
          </w:p>
        </w:tc>
      </w:tr>
      <w:tr w:rsidR="007B2993" w14:paraId="620B60FC" w14:textId="77777777">
        <w:trPr>
          <w:jc w:val="center"/>
        </w:trPr>
        <w:tc>
          <w:tcPr>
            <w:tcW w:w="4252" w:type="dxa"/>
            <w:shd w:val="clear" w:color="auto" w:fill="FFFFFF"/>
          </w:tcPr>
          <w:p w14:paraId="08EEB2B7" w14:textId="77777777" w:rsidR="007B2993" w:rsidRDefault="00000000">
            <w:r>
              <w:rPr>
                <w:sz w:val="20"/>
              </w:rPr>
              <w:t>Methodology</w:t>
            </w:r>
          </w:p>
          <w:p w14:paraId="484AC8C2" w14:textId="77777777" w:rsidR="007B2993" w:rsidRDefault="00000000">
            <w:r>
              <w:rPr>
                <w:i/>
                <w:sz w:val="20"/>
              </w:rPr>
              <w:t>Justification for selecting MAF is limited. Two-stage estimation is acknowledged as suboptimal but not explored further. Add a diagram/flowchart for better conceptual clarity.</w:t>
            </w:r>
          </w:p>
        </w:tc>
        <w:tc>
          <w:tcPr>
            <w:tcW w:w="5386" w:type="dxa"/>
            <w:shd w:val="clear" w:color="auto" w:fill="FFFFFF"/>
          </w:tcPr>
          <w:p w14:paraId="78048FBE" w14:textId="77777777" w:rsidR="007B2993" w:rsidRDefault="00000000">
            <w:r>
              <w:rPr>
                <w:sz w:val="20"/>
              </w:rPr>
              <w:t>A 'Rationale for MAF' paragraph has been added after the flow architecture table (Section 3.3), explaining why MAF was chosen over RealNVP and Neural Spline Flows (tractable Jacobians, stable MLE training, autoregressive factorisation matching the univariate setting; extensions to other architectures flagged as future work). Joint estimation is discussed in Sections 2.5 and 4.4. Two workflow diagrams are already present in the manuscript (Figures 2 and 3).</w:t>
            </w:r>
            <w:r>
              <w:rPr>
                <w:sz w:val="20"/>
              </w:rPr>
              <w:br/>
            </w:r>
            <w:r>
              <w:rPr>
                <w:sz w:val="20"/>
              </w:rPr>
              <w:br/>
            </w:r>
            <w:r w:rsidRPr="00DD33A9">
              <w:rPr>
                <w:i/>
                <w:iCs/>
                <w:sz w:val="20"/>
              </w:rPr>
              <w:t>Manuscript change: 'Rationale for MAF' paragraph added in Section 3.3.</w:t>
            </w:r>
          </w:p>
        </w:tc>
      </w:tr>
      <w:tr w:rsidR="007B2993" w14:paraId="79811EE6" w14:textId="77777777">
        <w:trPr>
          <w:jc w:val="center"/>
        </w:trPr>
        <w:tc>
          <w:tcPr>
            <w:tcW w:w="4252" w:type="dxa"/>
            <w:shd w:val="clear" w:color="auto" w:fill="DCE6F1"/>
          </w:tcPr>
          <w:p w14:paraId="69949237" w14:textId="77777777" w:rsidR="007B2993" w:rsidRDefault="00000000">
            <w:r>
              <w:rPr>
                <w:sz w:val="20"/>
              </w:rPr>
              <w:t>Data</w:t>
            </w:r>
          </w:p>
          <w:p w14:paraId="03BA2CB0" w14:textId="77777777" w:rsidR="007B2993" w:rsidRDefault="00000000">
            <w:r>
              <w:rPr>
                <w:i/>
                <w:sz w:val="20"/>
              </w:rPr>
              <w:t>The selection criteria for assets are not clearly explained. Data preprocessing steps are briefly mentioned.</w:t>
            </w:r>
          </w:p>
        </w:tc>
        <w:tc>
          <w:tcPr>
            <w:tcW w:w="5386" w:type="dxa"/>
            <w:shd w:val="clear" w:color="auto" w:fill="DCE6F1"/>
          </w:tcPr>
          <w:p w14:paraId="18511436" w14:textId="77777777" w:rsidR="007B2993" w:rsidRDefault="00000000">
            <w:r>
              <w:rPr>
                <w:sz w:val="20"/>
              </w:rPr>
              <w:t xml:space="preserve">An 'Asset selection rationale' paragraph and a 'Returns and cleaning' paragraph have been added in Section 3.1, covering: two-class design rationale (G10 + ZAR-denominated FX pairs, multi-sector equities), GARCH </w:t>
            </w:r>
            <w:r>
              <w:rPr>
                <w:sz w:val="20"/>
              </w:rPr>
              <w:lastRenderedPageBreak/>
              <w:t>suitability, log-return computation ($r_t = log(P_t/P_{t-1})$), calendar alignment, no-winsorisation policy (tail preservation), and the 520-observation minimum threshold.</w:t>
            </w:r>
            <w:r>
              <w:rPr>
                <w:sz w:val="20"/>
              </w:rPr>
              <w:br/>
            </w:r>
            <w:r>
              <w:rPr>
                <w:sz w:val="20"/>
              </w:rPr>
              <w:br/>
            </w:r>
            <w:r w:rsidRPr="00DD33A9">
              <w:rPr>
                <w:i/>
                <w:iCs/>
                <w:sz w:val="20"/>
              </w:rPr>
              <w:t>Manuscript change: Two paragraphs added in Section 3.1.</w:t>
            </w:r>
          </w:p>
        </w:tc>
      </w:tr>
      <w:tr w:rsidR="007B2993" w14:paraId="539C360A" w14:textId="77777777">
        <w:trPr>
          <w:jc w:val="center"/>
        </w:trPr>
        <w:tc>
          <w:tcPr>
            <w:tcW w:w="4252" w:type="dxa"/>
            <w:shd w:val="clear" w:color="auto" w:fill="FFFFFF"/>
          </w:tcPr>
          <w:p w14:paraId="698B621A" w14:textId="77777777" w:rsidR="007B2993" w:rsidRDefault="00000000">
            <w:r>
              <w:rPr>
                <w:sz w:val="20"/>
              </w:rPr>
              <w:lastRenderedPageBreak/>
              <w:t>Results</w:t>
            </w:r>
          </w:p>
          <w:p w14:paraId="233F65B9" w14:textId="77777777" w:rsidR="007B2993" w:rsidRDefault="00000000">
            <w:r>
              <w:rPr>
                <w:i/>
                <w:sz w:val="20"/>
              </w:rPr>
              <w:t>Improvements are relatively small in magnitude, and some models show inconsistent or negative gains. Results are presented more descriptively than analytically.</w:t>
            </w:r>
          </w:p>
        </w:tc>
        <w:tc>
          <w:tcPr>
            <w:tcW w:w="5386" w:type="dxa"/>
            <w:shd w:val="clear" w:color="auto" w:fill="FFFFFF"/>
          </w:tcPr>
          <w:p w14:paraId="522E41B9" w14:textId="77777777" w:rsidR="007B2993" w:rsidRDefault="00000000">
            <w:r>
              <w:rPr>
                <w:sz w:val="20"/>
              </w:rPr>
              <w:t>Section 5.3.1 contextualises improvement magnitudes against semi-parametric benchmarks from the literature. Section 5.5 'When to prefer NF-GARCH' provides analytical interpretation of why performance varies across specifications (skewed-t vs Gaussian baseline), models (log-variance instability in EGARCH), and asset classes (equity vs FX tail characteristics).</w:t>
            </w:r>
            <w:r>
              <w:rPr>
                <w:sz w:val="20"/>
              </w:rPr>
              <w:br/>
            </w:r>
            <w:r>
              <w:rPr>
                <w:sz w:val="20"/>
              </w:rPr>
              <w:br/>
            </w:r>
            <w:r w:rsidRPr="00DD33A9">
              <w:rPr>
                <w:i/>
                <w:iCs/>
                <w:sz w:val="20"/>
              </w:rPr>
              <w:t>Manuscript change: Section 5.5 added.</w:t>
            </w:r>
          </w:p>
        </w:tc>
      </w:tr>
      <w:tr w:rsidR="007B2993" w14:paraId="73EFAA03" w14:textId="77777777">
        <w:trPr>
          <w:jc w:val="center"/>
        </w:trPr>
        <w:tc>
          <w:tcPr>
            <w:tcW w:w="4252" w:type="dxa"/>
            <w:shd w:val="clear" w:color="auto" w:fill="DCE6F1"/>
          </w:tcPr>
          <w:p w14:paraId="2AD203B0" w14:textId="77777777" w:rsidR="007B2993" w:rsidRDefault="00000000">
            <w:r>
              <w:rPr>
                <w:sz w:val="20"/>
              </w:rPr>
              <w:t>Risk Analysis</w:t>
            </w:r>
          </w:p>
          <w:p w14:paraId="55E4398C" w14:textId="77777777" w:rsidR="007B2993" w:rsidRDefault="00000000">
            <w:r>
              <w:rPr>
                <w:i/>
                <w:sz w:val="20"/>
              </w:rPr>
              <w:t>The interpretation of 'perfect calibration' is unclear. Limited discussion on implications for financial institutions.</w:t>
            </w:r>
          </w:p>
        </w:tc>
        <w:tc>
          <w:tcPr>
            <w:tcW w:w="5386" w:type="dxa"/>
            <w:shd w:val="clear" w:color="auto" w:fill="DCE6F1"/>
          </w:tcPr>
          <w:p w14:paraId="2F809C0F" w14:textId="77777777" w:rsidR="007B2993" w:rsidRDefault="00000000">
            <w:r>
              <w:rPr>
                <w:sz w:val="20"/>
              </w:rPr>
              <w:t>Footnotes b and f on Tables 12-13 now explain pooled aggregation, the conservative-calibration vs. test-power distinction, and regulatory implications. Section 5.3.3 notes that appropriate VaR calibration under NF-GARCH supports its use in internal risk management and Basel-compatible scenario analysis.</w:t>
            </w:r>
            <w:r>
              <w:rPr>
                <w:sz w:val="20"/>
              </w:rPr>
              <w:br/>
            </w:r>
            <w:r>
              <w:rPr>
                <w:sz w:val="20"/>
              </w:rPr>
              <w:br/>
            </w:r>
            <w:r w:rsidRPr="00DD33A9">
              <w:rPr>
                <w:i/>
                <w:iCs/>
                <w:sz w:val="20"/>
              </w:rPr>
              <w:t>Manuscript change: Footnotes b and f added.</w:t>
            </w:r>
          </w:p>
        </w:tc>
      </w:tr>
      <w:tr w:rsidR="007B2993" w14:paraId="6D8FBF94" w14:textId="77777777">
        <w:trPr>
          <w:jc w:val="center"/>
        </w:trPr>
        <w:tc>
          <w:tcPr>
            <w:tcW w:w="4252" w:type="dxa"/>
            <w:shd w:val="clear" w:color="auto" w:fill="FFFFFF"/>
          </w:tcPr>
          <w:p w14:paraId="4C5A28A1" w14:textId="77777777" w:rsidR="007B2993" w:rsidRDefault="00000000">
            <w:r>
              <w:rPr>
                <w:sz w:val="20"/>
              </w:rPr>
              <w:t>Stress Testing</w:t>
            </w:r>
          </w:p>
          <w:p w14:paraId="39D585ED" w14:textId="77777777" w:rsidR="007B2993" w:rsidRDefault="00000000">
            <w:r>
              <w:rPr>
                <w:i/>
                <w:sz w:val="20"/>
              </w:rPr>
              <w:t>Performance during crises is inconsistent, and some results show deterioration without sufficient explanation.</w:t>
            </w:r>
          </w:p>
        </w:tc>
        <w:tc>
          <w:tcPr>
            <w:tcW w:w="5386" w:type="dxa"/>
            <w:shd w:val="clear" w:color="auto" w:fill="FFFFFF"/>
          </w:tcPr>
          <w:p w14:paraId="4F7F9BFB" w14:textId="77777777" w:rsidR="007B2993" w:rsidRDefault="00000000">
            <w:r>
              <w:rPr>
                <w:sz w:val="20"/>
              </w:rPr>
              <w:t>Section 5.4 now explicitly traces gjrGARCH's COVID deterioration to the time-invariant innovation assumption: the flow trained on full-sample residuals cannot adapt to the structural break. Regime-switching conditional flows are named as a specific future research direction in the Conclusion.</w:t>
            </w:r>
            <w:r>
              <w:rPr>
                <w:sz w:val="20"/>
              </w:rPr>
              <w:br/>
            </w:r>
            <w:r>
              <w:rPr>
                <w:sz w:val="20"/>
              </w:rPr>
              <w:br/>
            </w:r>
            <w:r w:rsidRPr="00DD33A9">
              <w:rPr>
                <w:i/>
                <w:iCs/>
                <w:sz w:val="20"/>
              </w:rPr>
              <w:t>Manuscript change: Section 5.4 text revised; Conclusion future directions expanded.</w:t>
            </w:r>
          </w:p>
        </w:tc>
      </w:tr>
      <w:tr w:rsidR="007B2993" w14:paraId="051909DE" w14:textId="77777777">
        <w:trPr>
          <w:jc w:val="center"/>
        </w:trPr>
        <w:tc>
          <w:tcPr>
            <w:tcW w:w="4252" w:type="dxa"/>
            <w:shd w:val="clear" w:color="auto" w:fill="DCE6F1"/>
          </w:tcPr>
          <w:p w14:paraId="3EB570F9" w14:textId="77777777" w:rsidR="007B2993" w:rsidRDefault="00000000">
            <w:r>
              <w:rPr>
                <w:sz w:val="20"/>
              </w:rPr>
              <w:t>Discussion</w:t>
            </w:r>
          </w:p>
          <w:p w14:paraId="51BBE2FD" w14:textId="77777777" w:rsidR="007B2993" w:rsidRDefault="00000000">
            <w:r>
              <w:rPr>
                <w:i/>
                <w:sz w:val="20"/>
              </w:rPr>
              <w:t>Limited linkage to financial theory and practice. Expand discussion on economic significance. Compare results with prior studies.</w:t>
            </w:r>
          </w:p>
        </w:tc>
        <w:tc>
          <w:tcPr>
            <w:tcW w:w="5386" w:type="dxa"/>
            <w:shd w:val="clear" w:color="auto" w:fill="DCE6F1"/>
          </w:tcPr>
          <w:p w14:paraId="2FFFD848" w14:textId="77777777" w:rsidR="007B2993" w:rsidRDefault="00000000">
            <w:r>
              <w:rPr>
                <w:sz w:val="20"/>
              </w:rPr>
              <w:t>Section 5.3.2 compares with Hansen (1994), Bauwens et al. (2006), Andersen et al. (2001), and Engle &amp; Gonzalez-Rivera (1991). Section 5.5 adds economic interpretation and practical usability characterisation.</w:t>
            </w:r>
            <w:r>
              <w:rPr>
                <w:sz w:val="20"/>
              </w:rPr>
              <w:br/>
            </w:r>
            <w:r>
              <w:rPr>
                <w:sz w:val="20"/>
              </w:rPr>
              <w:br/>
            </w:r>
            <w:r w:rsidRPr="00DD33A9">
              <w:rPr>
                <w:i/>
                <w:iCs/>
                <w:sz w:val="20"/>
              </w:rPr>
              <w:t>Manuscript change: Sections 5.3.2 and 5.5.</w:t>
            </w:r>
          </w:p>
        </w:tc>
      </w:tr>
      <w:tr w:rsidR="007B2993" w14:paraId="076C2BBD" w14:textId="77777777">
        <w:trPr>
          <w:jc w:val="center"/>
        </w:trPr>
        <w:tc>
          <w:tcPr>
            <w:tcW w:w="4252" w:type="dxa"/>
            <w:shd w:val="clear" w:color="auto" w:fill="FFFFFF"/>
          </w:tcPr>
          <w:p w14:paraId="2C9C369B" w14:textId="77777777" w:rsidR="007B2993" w:rsidRDefault="00000000">
            <w:r>
              <w:rPr>
                <w:sz w:val="20"/>
              </w:rPr>
              <w:t>Conclusion</w:t>
            </w:r>
          </w:p>
          <w:p w14:paraId="7FE7B18B" w14:textId="77777777" w:rsidR="007B2993" w:rsidRDefault="00000000">
            <w:r>
              <w:rPr>
                <w:i/>
                <w:sz w:val="20"/>
              </w:rPr>
              <w:t>Some repetition from earlier sections and a limited forward-looking perspective.</w:t>
            </w:r>
          </w:p>
        </w:tc>
        <w:tc>
          <w:tcPr>
            <w:tcW w:w="5386" w:type="dxa"/>
            <w:shd w:val="clear" w:color="auto" w:fill="FFFFFF"/>
          </w:tcPr>
          <w:p w14:paraId="76932E82" w14:textId="73AA5457" w:rsidR="007B2993" w:rsidRDefault="00000000">
            <w:r>
              <w:rPr>
                <w:sz w:val="20"/>
              </w:rPr>
              <w:t xml:space="preserve">The conclusion's three paragraphs are structured to minimise repetition: (1) summary of key findings, (2) modularity advantage and constraints, (3) specific future research directions </w:t>
            </w:r>
            <w:r w:rsidR="00B23E69">
              <w:rPr>
                <w:sz w:val="20"/>
              </w:rPr>
              <w:t>-</w:t>
            </w:r>
            <w:r>
              <w:rPr>
                <w:sz w:val="20"/>
              </w:rPr>
              <w:t xml:space="preserve"> conditional flows, multivariate extension, broader asset coverage, regime-switching tests, and formal multi-seed empirical validation.</w:t>
            </w:r>
            <w:r>
              <w:rPr>
                <w:sz w:val="20"/>
              </w:rPr>
              <w:br/>
            </w:r>
            <w:r>
              <w:rPr>
                <w:sz w:val="20"/>
              </w:rPr>
              <w:br/>
            </w:r>
            <w:r w:rsidRPr="00DD33A9">
              <w:rPr>
                <w:i/>
                <w:iCs/>
                <w:sz w:val="20"/>
              </w:rPr>
              <w:t>Manuscript change: Conclusion reviewed; future directions paragraph expanded.</w:t>
            </w:r>
          </w:p>
        </w:tc>
      </w:tr>
    </w:tbl>
    <w:p w14:paraId="5BD6A489" w14:textId="77777777" w:rsidR="007B2993" w:rsidRDefault="00000000">
      <w:r>
        <w:br w:type="page"/>
      </w:r>
    </w:p>
    <w:p w14:paraId="5473026C" w14:textId="77777777" w:rsidR="007B2993" w:rsidRDefault="00000000" w:rsidP="00B23E69">
      <w:pPr>
        <w:pStyle w:val="Heading1"/>
      </w:pPr>
      <w:r>
        <w:rPr>
          <w:b/>
        </w:rPr>
        <w:lastRenderedPageBreak/>
        <w:t>Reviewer 3</w:t>
      </w:r>
    </w:p>
    <w:p w14:paraId="5B30BD3A" w14:textId="1A970B1E" w:rsidR="007B2993" w:rsidRDefault="00000000">
      <w:r>
        <w:t xml:space="preserve">We thank Reviewer 3 for the rigorous methodological review. The two primary concerns — narrowness of empirical validation and lack of methodological clarity — are both legitimate. The second has been addressed fully in the revised manuscript. </w:t>
      </w:r>
      <w:r w:rsidR="00B23E69">
        <w:t>First</w:t>
      </w:r>
      <w:r>
        <w:t>, we address what is feasible within the revision scope and flag the multi-architecture comparison as a priority follow-up commitment.</w:t>
      </w:r>
    </w:p>
    <w:p w14:paraId="77D84BA9" w14:textId="77777777" w:rsidR="007B2993" w:rsidRDefault="007B2993"/>
    <w:tbl>
      <w:tblPr>
        <w:tblStyle w:val="TableGrid"/>
        <w:tblW w:w="0" w:type="auto"/>
        <w:jc w:val="center"/>
        <w:tblLook w:val="04A0" w:firstRow="1" w:lastRow="0" w:firstColumn="1" w:lastColumn="0" w:noHBand="0" w:noVBand="1"/>
      </w:tblPr>
      <w:tblGrid>
        <w:gridCol w:w="4242"/>
        <w:gridCol w:w="5380"/>
      </w:tblGrid>
      <w:tr w:rsidR="007B2993" w14:paraId="6081774C" w14:textId="77777777">
        <w:trPr>
          <w:jc w:val="center"/>
        </w:trPr>
        <w:tc>
          <w:tcPr>
            <w:tcW w:w="4252" w:type="dxa"/>
            <w:shd w:val="clear" w:color="auto" w:fill="1F497D"/>
          </w:tcPr>
          <w:p w14:paraId="3FDB7A52" w14:textId="77777777" w:rsidR="007B2993" w:rsidRDefault="00000000">
            <w:r>
              <w:rPr>
                <w:b/>
                <w:color w:val="FFFFFF"/>
              </w:rPr>
              <w:t>Reviewer Comments</w:t>
            </w:r>
          </w:p>
        </w:tc>
        <w:tc>
          <w:tcPr>
            <w:tcW w:w="5386" w:type="dxa"/>
            <w:shd w:val="clear" w:color="auto" w:fill="1F497D"/>
          </w:tcPr>
          <w:p w14:paraId="61F0733B" w14:textId="77777777" w:rsidR="007B2993" w:rsidRDefault="00000000">
            <w:r>
              <w:rPr>
                <w:b/>
                <w:color w:val="FFFFFF"/>
              </w:rPr>
              <w:t>Author Response and Action</w:t>
            </w:r>
          </w:p>
        </w:tc>
      </w:tr>
      <w:tr w:rsidR="007B2993" w14:paraId="6700BA0C" w14:textId="77777777">
        <w:trPr>
          <w:jc w:val="center"/>
        </w:trPr>
        <w:tc>
          <w:tcPr>
            <w:tcW w:w="4252" w:type="dxa"/>
            <w:shd w:val="clear" w:color="auto" w:fill="DCE6F1"/>
          </w:tcPr>
          <w:p w14:paraId="61CA88C8" w14:textId="77777777" w:rsidR="007B2993" w:rsidRDefault="00000000">
            <w:r>
              <w:rPr>
                <w:sz w:val="20"/>
              </w:rPr>
              <w:t>Main Concern 1 — Empirical validation</w:t>
            </w:r>
          </w:p>
          <w:p w14:paraId="31EE4942" w14:textId="77777777" w:rsidR="007B2993" w:rsidRDefault="00000000">
            <w:r>
              <w:rPr>
                <w:i/>
                <w:sz w:val="20"/>
              </w:rPr>
              <w:t>The study relies on a single flow implementation (MAF). Hyperparameter choice is a constrained sensitivity analysis rather than a clearly separated validation protocol. No multi-seed results are reported, so stability of gains is unclear. At a minimum: report multi-seed results with variability measures, compare MAF against at least one additional flow architecture, and present a more explicit validation procedure.</w:t>
            </w:r>
          </w:p>
        </w:tc>
        <w:tc>
          <w:tcPr>
            <w:tcW w:w="5386" w:type="dxa"/>
            <w:shd w:val="clear" w:color="auto" w:fill="DCE6F1"/>
          </w:tcPr>
          <w:p w14:paraId="1D7D3255" w14:textId="77777777" w:rsidR="007B2993" w:rsidRDefault="00000000">
            <w:r>
              <w:rPr>
                <w:sz w:val="20"/>
              </w:rPr>
              <w:t>We acknowledge that multi-seed variability measures and a second architecture comparison (e.g., RealNVP) would materially strengthen robustness claims. These require re-running the full training pipeline; we commit to including RealNVP comparison results if a further revision is requested.</w:t>
            </w:r>
            <w:r>
              <w:rPr>
                <w:sz w:val="20"/>
              </w:rPr>
              <w:br/>
            </w:r>
            <w:r>
              <w:rPr>
                <w:sz w:val="20"/>
              </w:rPr>
              <w:br/>
              <w:t>In the revised manuscript: (a) a 'Rationale for MAF' paragraph (Section 3.3) explicitly names RealNVP and Neural Spline Flows as alternatives and explains why MAF was prioritised; (b) the hyperparameter sensitivity section (Section 4.2) clarifies the validation-likelihood-based selection protocol and perturbation ranges; (c) the sensitivity paragraph (Section 5.2) notes that qualitative rankings remain consistent across architectural perturbations tested, and that training scripts in the GitHub repository allow independent seed-level verification.</w:t>
            </w:r>
            <w:r>
              <w:rPr>
                <w:sz w:val="20"/>
              </w:rPr>
              <w:br/>
            </w:r>
            <w:r>
              <w:rPr>
                <w:sz w:val="20"/>
              </w:rPr>
              <w:br/>
            </w:r>
            <w:r w:rsidRPr="00DD33A9">
              <w:rPr>
                <w:i/>
                <w:iCs/>
                <w:sz w:val="20"/>
              </w:rPr>
              <w:t>Manuscript change: 'Rationale for MAF' paragraph added in Section 3.3; Section 5.2 sensitivity text revised.</w:t>
            </w:r>
          </w:p>
        </w:tc>
      </w:tr>
      <w:tr w:rsidR="007B2993" w14:paraId="6A90CD13" w14:textId="77777777">
        <w:trPr>
          <w:jc w:val="center"/>
        </w:trPr>
        <w:tc>
          <w:tcPr>
            <w:tcW w:w="4252" w:type="dxa"/>
            <w:shd w:val="clear" w:color="auto" w:fill="FFFFFF"/>
          </w:tcPr>
          <w:p w14:paraId="21EE5007" w14:textId="77777777" w:rsidR="007B2993" w:rsidRDefault="00000000">
            <w:r>
              <w:rPr>
                <w:sz w:val="20"/>
              </w:rPr>
              <w:t>Main Concern 2a — Notation</w:t>
            </w:r>
          </w:p>
          <w:p w14:paraId="4E80E513" w14:textId="77777777" w:rsidR="007B2993" w:rsidRDefault="00000000">
            <w:r>
              <w:rPr>
                <w:i/>
                <w:sz w:val="20"/>
              </w:rPr>
              <w:t>The manuscript introduces Y_t = mu_t + epsilon_t and standardised residuals without clearly specifying the mean equation or reconciling notations.</w:t>
            </w:r>
          </w:p>
        </w:tc>
        <w:tc>
          <w:tcPr>
            <w:tcW w:w="5386" w:type="dxa"/>
            <w:shd w:val="clear" w:color="auto" w:fill="FFFFFF"/>
          </w:tcPr>
          <w:p w14:paraId="41E0DD26" w14:textId="77777777" w:rsidR="007B2993" w:rsidRDefault="00000000">
            <w:r>
              <w:rPr>
                <w:sz w:val="20"/>
              </w:rPr>
              <w:t>An 'Empirical specification (notation)' paragraph has been added in Section 2.3 specifying: (1) constant-mean log-return model r_t = mu + epsilon_t with scalar mu estimated by MLE jointly with volatility parameters, no ARMA mean dynamics; (2) each variant's GARCH(1,1)-type recursion; (3) standardised residual formula z_hat_t = (r_t - mu_hat)/sigma_hat_t; (4) definitions of 'norm' and 'sstd' labels used throughout.</w:t>
            </w:r>
            <w:r>
              <w:rPr>
                <w:sz w:val="20"/>
              </w:rPr>
              <w:br/>
            </w:r>
            <w:r>
              <w:rPr>
                <w:sz w:val="20"/>
              </w:rPr>
              <w:br/>
            </w:r>
            <w:r w:rsidRPr="00DD33A9">
              <w:rPr>
                <w:i/>
                <w:iCs/>
                <w:sz w:val="20"/>
              </w:rPr>
              <w:t>Manuscript change: 'Empirical specification (notation)' paragraph added in Section 2.3.</w:t>
            </w:r>
          </w:p>
        </w:tc>
      </w:tr>
      <w:tr w:rsidR="007B2993" w14:paraId="27CB5423" w14:textId="77777777">
        <w:trPr>
          <w:jc w:val="center"/>
        </w:trPr>
        <w:tc>
          <w:tcPr>
            <w:tcW w:w="4252" w:type="dxa"/>
            <w:shd w:val="clear" w:color="auto" w:fill="DCE6F1"/>
          </w:tcPr>
          <w:p w14:paraId="50183CAD" w14:textId="77777777" w:rsidR="007B2993" w:rsidRDefault="00000000">
            <w:r>
              <w:rPr>
                <w:sz w:val="20"/>
              </w:rPr>
              <w:t>Main Concern 2b — GARCH orders</w:t>
            </w:r>
          </w:p>
          <w:p w14:paraId="4CDC8C78" w14:textId="77777777" w:rsidR="007B2993" w:rsidRDefault="00000000">
            <w:r>
              <w:rPr>
                <w:i/>
                <w:sz w:val="20"/>
              </w:rPr>
              <w:t>The theoretical section presents a general GARCH(p,q) form, yet the empirical section does not state which orders and parameterisations were actually used.</w:t>
            </w:r>
          </w:p>
        </w:tc>
        <w:tc>
          <w:tcPr>
            <w:tcW w:w="5386" w:type="dxa"/>
            <w:shd w:val="clear" w:color="auto" w:fill="DCE6F1"/>
          </w:tcPr>
          <w:p w14:paraId="4405A658" w14:textId="77777777" w:rsidR="007B2993" w:rsidRDefault="00000000">
            <w:r>
              <w:rPr>
                <w:sz w:val="20"/>
              </w:rPr>
              <w:t>The same paragraph in Section 2.3 now explicitly states that all four variants use GARCH(1,1)-type recursions as implemented in the custom R engine, with citations to Bollerslev (1986), Zakoian (1994), Glosten et al. (1993), and Nelson (1991).</w:t>
            </w:r>
            <w:r>
              <w:rPr>
                <w:sz w:val="20"/>
              </w:rPr>
              <w:br/>
            </w:r>
            <w:r>
              <w:rPr>
                <w:sz w:val="20"/>
              </w:rPr>
              <w:br/>
            </w:r>
            <w:r w:rsidRPr="00DD33A9">
              <w:rPr>
                <w:i/>
                <w:iCs/>
                <w:sz w:val="20"/>
              </w:rPr>
              <w:t>Manuscript change: See 'Empirical specification (notation)' paragraph in Section 2.3.</w:t>
            </w:r>
          </w:p>
        </w:tc>
      </w:tr>
      <w:tr w:rsidR="007B2993" w14:paraId="72420E9C" w14:textId="77777777">
        <w:trPr>
          <w:jc w:val="center"/>
        </w:trPr>
        <w:tc>
          <w:tcPr>
            <w:tcW w:w="4252" w:type="dxa"/>
            <w:shd w:val="clear" w:color="auto" w:fill="FFFFFF"/>
          </w:tcPr>
          <w:p w14:paraId="3E679835" w14:textId="77777777" w:rsidR="007B2993" w:rsidRDefault="00000000">
            <w:r>
              <w:rPr>
                <w:sz w:val="20"/>
              </w:rPr>
              <w:t>Table 3</w:t>
            </w:r>
          </w:p>
          <w:p w14:paraId="27470CC3" w14:textId="77777777" w:rsidR="007B2993" w:rsidRDefault="00000000">
            <w:r>
              <w:rPr>
                <w:i/>
                <w:sz w:val="20"/>
              </w:rPr>
              <w:t>'Volatility Clustering' and 'Gain/Loss Asymmetry' are not operationally defined in the text, so numerical values cannot be interpreted rigorously.</w:t>
            </w:r>
          </w:p>
        </w:tc>
        <w:tc>
          <w:tcPr>
            <w:tcW w:w="5386" w:type="dxa"/>
            <w:shd w:val="clear" w:color="auto" w:fill="FFFFFF"/>
          </w:tcPr>
          <w:p w14:paraId="6BC150B5" w14:textId="77777777" w:rsidR="007B2993" w:rsidRDefault="00000000">
            <w:r>
              <w:rPr>
                <w:sz w:val="20"/>
              </w:rPr>
              <w:t>Footnote c has been added to Table 3 with operational definitions:</w:t>
            </w:r>
            <w:r>
              <w:rPr>
                <w:sz w:val="20"/>
              </w:rPr>
              <w:br/>
              <w:t>- Volatility Clustering: sum of the first ten ordinates of the sample ACF vector of squared returns (R's stats::acf, including lag-zero term).</w:t>
            </w:r>
            <w:r>
              <w:rPr>
                <w:sz w:val="20"/>
              </w:rPr>
              <w:br/>
            </w:r>
            <w:r>
              <w:rPr>
                <w:sz w:val="20"/>
              </w:rPr>
              <w:lastRenderedPageBreak/>
              <w:t>- Leverage Effect: mean over h=1,...,5 of corr(1{r_t&lt;0}, r_{t+h}^2).</w:t>
            </w:r>
            <w:r>
              <w:rPr>
                <w:sz w:val="20"/>
              </w:rPr>
              <w:br/>
              <w:t>- Gain/Loss Asymmetry: mean |r_t| on negative returns / mean r_t on positive returns.</w:t>
            </w:r>
            <w:r>
              <w:rPr>
                <w:sz w:val="20"/>
              </w:rPr>
              <w:br/>
              <w:t>- Skewness: moments::skewness or standardised third moment.</w:t>
            </w:r>
            <w:r>
              <w:rPr>
                <w:sz w:val="20"/>
              </w:rPr>
              <w:br/>
              <w:t>All definitions match scripts/evaluation/calculate_stylized_facts.R.</w:t>
            </w:r>
            <w:r>
              <w:rPr>
                <w:sz w:val="20"/>
              </w:rPr>
              <w:br/>
            </w:r>
            <w:r w:rsidRPr="00DD33A9">
              <w:rPr>
                <w:i/>
                <w:iCs/>
                <w:sz w:val="20"/>
              </w:rPr>
              <w:br/>
              <w:t>Manuscript change: Footnote c added to Table 3.</w:t>
            </w:r>
          </w:p>
        </w:tc>
      </w:tr>
      <w:tr w:rsidR="007B2993" w14:paraId="6A1493AE" w14:textId="77777777">
        <w:trPr>
          <w:jc w:val="center"/>
        </w:trPr>
        <w:tc>
          <w:tcPr>
            <w:tcW w:w="4252" w:type="dxa"/>
            <w:shd w:val="clear" w:color="auto" w:fill="DCE6F1"/>
          </w:tcPr>
          <w:p w14:paraId="6B377560" w14:textId="77777777" w:rsidR="007B2993" w:rsidRDefault="00000000">
            <w:r>
              <w:rPr>
                <w:sz w:val="20"/>
              </w:rPr>
              <w:lastRenderedPageBreak/>
              <w:t>Tables 5 &amp; 6</w:t>
            </w:r>
          </w:p>
          <w:p w14:paraId="499EC3B5" w14:textId="77777777" w:rsidR="007B2993" w:rsidRDefault="00000000">
            <w:r>
              <w:rPr>
                <w:i/>
                <w:sz w:val="20"/>
              </w:rPr>
              <w:t>The meaning of 'Number of Obs' and the shorthand distribution labels such as 'sstd' are not explicitly explained.</w:t>
            </w:r>
          </w:p>
        </w:tc>
        <w:tc>
          <w:tcPr>
            <w:tcW w:w="5386" w:type="dxa"/>
            <w:shd w:val="clear" w:color="auto" w:fill="DCE6F1"/>
          </w:tcPr>
          <w:p w14:paraId="6AC6DCE1" w14:textId="77777777" w:rsidR="007B2993" w:rsidRDefault="00000000">
            <w:r>
              <w:rPr>
                <w:sz w:val="20"/>
              </w:rPr>
              <w:t>Footnote d on Table 5 (overall) defines 'Number of Obs' as the count of retained paired evaluation records (model-asset-window aggregates) after excluding non-convergent runs and outliers — not the raw daily sample length.</w:t>
            </w:r>
            <w:r>
              <w:rPr>
                <w:sz w:val="20"/>
              </w:rPr>
              <w:br/>
            </w:r>
            <w:r>
              <w:rPr>
                <w:sz w:val="20"/>
              </w:rPr>
              <w:br/>
              <w:t>Footnote e on Table 6 (by-model) defines 'norm' (Gaussian innovations) and 'sstd' (skewed Student-t per Fernandez &amp; Steel 1998), and explains N and the sign convention for MSE Impr (%).</w:t>
            </w:r>
            <w:r>
              <w:rPr>
                <w:sz w:val="20"/>
              </w:rPr>
              <w:br/>
            </w:r>
            <w:r>
              <w:rPr>
                <w:sz w:val="20"/>
              </w:rPr>
              <w:br/>
            </w:r>
            <w:r w:rsidRPr="00DD33A9">
              <w:rPr>
                <w:i/>
                <w:iCs/>
                <w:sz w:val="20"/>
              </w:rPr>
              <w:t>Manuscript change: Footnotes d and e added to Tables 5 and 6.</w:t>
            </w:r>
          </w:p>
        </w:tc>
      </w:tr>
      <w:tr w:rsidR="007B2993" w14:paraId="00062ECA" w14:textId="77777777">
        <w:trPr>
          <w:jc w:val="center"/>
        </w:trPr>
        <w:tc>
          <w:tcPr>
            <w:tcW w:w="4252" w:type="dxa"/>
            <w:shd w:val="clear" w:color="auto" w:fill="FFFFFF"/>
          </w:tcPr>
          <w:p w14:paraId="32726270" w14:textId="77777777" w:rsidR="007B2993" w:rsidRDefault="00000000">
            <w:r>
              <w:rPr>
                <w:sz w:val="20"/>
              </w:rPr>
              <w:t>VaR Tables 12 &amp; 13</w:t>
            </w:r>
          </w:p>
          <w:p w14:paraId="69372F90" w14:textId="77777777" w:rsidR="007B2993" w:rsidRDefault="00000000">
            <w:r>
              <w:rPr>
                <w:i/>
                <w:sz w:val="20"/>
              </w:rPr>
              <w:t>Table 12 describes pooled average diagnostics, while Table 13 presents results by model but reports identical values across all models, leaving the aggregation logic unclear.</w:t>
            </w:r>
          </w:p>
        </w:tc>
        <w:tc>
          <w:tcPr>
            <w:tcW w:w="5386" w:type="dxa"/>
            <w:shd w:val="clear" w:color="auto" w:fill="FFFFFF"/>
          </w:tcPr>
          <w:p w14:paraId="05288F18" w14:textId="77777777" w:rsidR="007B2993" w:rsidRDefault="00000000">
            <w:r>
              <w:rPr>
                <w:sz w:val="20"/>
              </w:rPr>
              <w:t>Footnote b on Table 12 states that entries are pooled averages across model-asset cells (rounded for display).</w:t>
            </w:r>
            <w:r>
              <w:rPr>
                <w:sz w:val="20"/>
              </w:rPr>
              <w:br/>
            </w:r>
            <w:r>
              <w:rPr>
                <w:sz w:val="20"/>
              </w:rPr>
              <w:br/>
              <w:t>Footnote f on Table 13 explains that identical values across models reflect: (1) all models evaluated on the same 13 assets and test window; (2) near-identical pooled exceedance rates at both confidence levels; (3) limited backtest power at this sample size — p-values signal conservative calibration rather than model indistinguishability. Table 12 is cross-referenced for the disaggregated diagnostic view.</w:t>
            </w:r>
            <w:r>
              <w:rPr>
                <w:sz w:val="20"/>
              </w:rPr>
              <w:br/>
            </w:r>
            <w:r>
              <w:rPr>
                <w:sz w:val="20"/>
              </w:rPr>
              <w:br/>
            </w:r>
            <w:r w:rsidRPr="00DD33A9">
              <w:rPr>
                <w:i/>
                <w:iCs/>
                <w:sz w:val="20"/>
              </w:rPr>
              <w:t>Manuscript change: Footnotes b and f added to Tables 12–13.</w:t>
            </w:r>
          </w:p>
        </w:tc>
      </w:tr>
      <w:tr w:rsidR="007B2993" w14:paraId="2E8EA71F" w14:textId="77777777">
        <w:trPr>
          <w:jc w:val="center"/>
        </w:trPr>
        <w:tc>
          <w:tcPr>
            <w:tcW w:w="4252" w:type="dxa"/>
            <w:shd w:val="clear" w:color="auto" w:fill="DCE6F1"/>
          </w:tcPr>
          <w:p w14:paraId="083DAF29" w14:textId="77777777" w:rsidR="007B2993" w:rsidRDefault="00000000">
            <w:r>
              <w:rPr>
                <w:sz w:val="20"/>
              </w:rPr>
              <w:t>eGARCH N=1 vs N=12</w:t>
            </w:r>
          </w:p>
          <w:p w14:paraId="41757F14" w14:textId="77777777" w:rsidR="007B2993" w:rsidRDefault="00000000">
            <w:r>
              <w:rPr>
                <w:i/>
                <w:sz w:val="20"/>
              </w:rPr>
              <w:t>There is an apparent inconsistency between the statement that eGARCH converged for only one asset and the stress-testing table reporting N=12 for eGARCH.</w:t>
            </w:r>
          </w:p>
        </w:tc>
        <w:tc>
          <w:tcPr>
            <w:tcW w:w="5386" w:type="dxa"/>
            <w:shd w:val="clear" w:color="auto" w:fill="DCE6F1"/>
          </w:tcPr>
          <w:p w14:paraId="5398F8D3" w14:textId="77777777" w:rsidR="007B2993" w:rsidRDefault="00000000">
            <w:r>
              <w:rPr>
                <w:sz w:val="20"/>
              </w:rPr>
              <w:t>Footnote a on the crisis table (Table 14) reconciles this: N=12 in the crisis table is the number of asset-crisis period cells retained in the stress-test aggregation pipeline (which uses a separate pre-crisis calibration window and a different filtering pipeline from the main full-sample baseline). This does not imply that eGARCH converged for 12 assets in the main evaluation; the full-sample baseline (Table 4) continues to show N=1 for eGARCH. Footnote e on Table 6 also cross-references this distinction.</w:t>
            </w:r>
            <w:r>
              <w:rPr>
                <w:sz w:val="20"/>
              </w:rPr>
              <w:br/>
            </w:r>
            <w:r>
              <w:rPr>
                <w:sz w:val="20"/>
              </w:rPr>
              <w:br/>
            </w:r>
            <w:r w:rsidRPr="00DD33A9">
              <w:rPr>
                <w:i/>
                <w:iCs/>
                <w:sz w:val="20"/>
              </w:rPr>
              <w:t>Manuscript change: Footnote a added to Table 14; cross-references added in Footnote e.</w:t>
            </w:r>
          </w:p>
        </w:tc>
      </w:tr>
    </w:tbl>
    <w:p w14:paraId="31AE1C64" w14:textId="77777777" w:rsidR="00B231D5" w:rsidRDefault="00B231D5"/>
    <w:sectPr w:rsidR="00B231D5"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2147664">
    <w:abstractNumId w:val="8"/>
  </w:num>
  <w:num w:numId="2" w16cid:durableId="348484446">
    <w:abstractNumId w:val="6"/>
  </w:num>
  <w:num w:numId="3" w16cid:durableId="1237202264">
    <w:abstractNumId w:val="5"/>
  </w:num>
  <w:num w:numId="4" w16cid:durableId="1777943200">
    <w:abstractNumId w:val="4"/>
  </w:num>
  <w:num w:numId="5" w16cid:durableId="740718030">
    <w:abstractNumId w:val="7"/>
  </w:num>
  <w:num w:numId="6" w16cid:durableId="825249423">
    <w:abstractNumId w:val="3"/>
  </w:num>
  <w:num w:numId="7" w16cid:durableId="272516221">
    <w:abstractNumId w:val="2"/>
  </w:num>
  <w:num w:numId="8" w16cid:durableId="131294229">
    <w:abstractNumId w:val="1"/>
  </w:num>
  <w:num w:numId="9" w16cid:durableId="1879126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761"/>
    <w:rsid w:val="0015074B"/>
    <w:rsid w:val="0029639D"/>
    <w:rsid w:val="00315ACC"/>
    <w:rsid w:val="00326F90"/>
    <w:rsid w:val="007B2993"/>
    <w:rsid w:val="00813A06"/>
    <w:rsid w:val="0095595E"/>
    <w:rsid w:val="00AA1D8D"/>
    <w:rsid w:val="00B231D5"/>
    <w:rsid w:val="00B23E69"/>
    <w:rsid w:val="00B47730"/>
    <w:rsid w:val="00CB0664"/>
    <w:rsid w:val="00DD33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C0EF24"/>
  <w14:defaultImageDpi w14:val="300"/>
  <w15:docId w15:val="{988B91B1-786E-46C7-82BD-75A5D91F0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95E"/>
  </w:style>
  <w:style w:type="paragraph" w:styleId="Heading1">
    <w:name w:val="heading 1"/>
    <w:basedOn w:val="Normal"/>
    <w:next w:val="Normal"/>
    <w:link w:val="Heading1Char"/>
    <w:uiPriority w:val="9"/>
    <w:qFormat/>
    <w:rsid w:val="0095595E"/>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95595E"/>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95595E"/>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95595E"/>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95595E"/>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95595E"/>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95595E"/>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95595E"/>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95595E"/>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95595E"/>
    <w:pPr>
      <w:spacing w:after="0" w:line="240" w:lineRule="auto"/>
    </w:pPr>
  </w:style>
  <w:style w:type="character" w:customStyle="1" w:styleId="Heading1Char">
    <w:name w:val="Heading 1 Char"/>
    <w:basedOn w:val="DefaultParagraphFont"/>
    <w:link w:val="Heading1"/>
    <w:uiPriority w:val="9"/>
    <w:rsid w:val="0095595E"/>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95595E"/>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95595E"/>
    <w:rPr>
      <w:rFonts w:asciiTheme="majorHAnsi" w:eastAsiaTheme="majorEastAsia" w:hAnsiTheme="majorHAnsi" w:cstheme="majorBidi"/>
      <w:smallCaps/>
      <w:sz w:val="28"/>
      <w:szCs w:val="28"/>
    </w:rPr>
  </w:style>
  <w:style w:type="paragraph" w:styleId="Title">
    <w:name w:val="Title"/>
    <w:basedOn w:val="Normal"/>
    <w:next w:val="Normal"/>
    <w:link w:val="TitleChar"/>
    <w:uiPriority w:val="10"/>
    <w:qFormat/>
    <w:rsid w:val="0095595E"/>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95595E"/>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95595E"/>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95595E"/>
    <w:rPr>
      <w:rFonts w:asciiTheme="majorHAnsi" w:eastAsiaTheme="majorEastAsia" w:hAnsiTheme="majorHAnsi" w:cstheme="majorBidi"/>
      <w:smallCaps/>
      <w:color w:val="595959" w:themeColor="text1" w:themeTint="A6"/>
      <w:sz w:val="28"/>
      <w:szCs w:val="28"/>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95595E"/>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95595E"/>
    <w:rPr>
      <w:rFonts w:asciiTheme="majorHAnsi" w:eastAsiaTheme="majorEastAsia" w:hAnsiTheme="majorHAnsi" w:cstheme="majorBidi"/>
      <w:sz w:val="25"/>
      <w:szCs w:val="25"/>
    </w:rPr>
  </w:style>
  <w:style w:type="character" w:customStyle="1" w:styleId="Heading4Char">
    <w:name w:val="Heading 4 Char"/>
    <w:basedOn w:val="DefaultParagraphFont"/>
    <w:link w:val="Heading4"/>
    <w:uiPriority w:val="9"/>
    <w:semiHidden/>
    <w:rsid w:val="0095595E"/>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95595E"/>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95595E"/>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95595E"/>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95595E"/>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95595E"/>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95595E"/>
    <w:pPr>
      <w:spacing w:line="240" w:lineRule="auto"/>
    </w:pPr>
    <w:rPr>
      <w:b/>
      <w:bCs/>
      <w:smallCaps/>
      <w:color w:val="595959" w:themeColor="text1" w:themeTint="A6"/>
    </w:rPr>
  </w:style>
  <w:style w:type="character" w:styleId="Strong">
    <w:name w:val="Strong"/>
    <w:basedOn w:val="DefaultParagraphFont"/>
    <w:uiPriority w:val="22"/>
    <w:qFormat/>
    <w:rsid w:val="0095595E"/>
    <w:rPr>
      <w:b/>
      <w:bCs/>
    </w:rPr>
  </w:style>
  <w:style w:type="character" w:styleId="Emphasis">
    <w:name w:val="Emphasis"/>
    <w:basedOn w:val="DefaultParagraphFont"/>
    <w:uiPriority w:val="20"/>
    <w:qFormat/>
    <w:rsid w:val="0095595E"/>
    <w:rPr>
      <w:i/>
      <w:iCs/>
    </w:rPr>
  </w:style>
  <w:style w:type="paragraph" w:styleId="IntenseQuote">
    <w:name w:val="Intense Quote"/>
    <w:basedOn w:val="Normal"/>
    <w:next w:val="Normal"/>
    <w:link w:val="IntenseQuoteChar"/>
    <w:uiPriority w:val="30"/>
    <w:qFormat/>
    <w:rsid w:val="0095595E"/>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95595E"/>
    <w:rPr>
      <w:color w:val="404040" w:themeColor="text1" w:themeTint="BF"/>
      <w:sz w:val="32"/>
      <w:szCs w:val="32"/>
    </w:rPr>
  </w:style>
  <w:style w:type="character" w:styleId="SubtleEmphasis">
    <w:name w:val="Subtle Emphasis"/>
    <w:basedOn w:val="DefaultParagraphFont"/>
    <w:uiPriority w:val="19"/>
    <w:qFormat/>
    <w:rsid w:val="0095595E"/>
    <w:rPr>
      <w:i/>
      <w:iCs/>
      <w:color w:val="595959" w:themeColor="text1" w:themeTint="A6"/>
    </w:rPr>
  </w:style>
  <w:style w:type="character" w:styleId="IntenseEmphasis">
    <w:name w:val="Intense Emphasis"/>
    <w:basedOn w:val="DefaultParagraphFont"/>
    <w:uiPriority w:val="21"/>
    <w:qFormat/>
    <w:rsid w:val="0095595E"/>
    <w:rPr>
      <w:b/>
      <w:bCs/>
      <w:i/>
      <w:iCs/>
    </w:rPr>
  </w:style>
  <w:style w:type="character" w:styleId="SubtleReference">
    <w:name w:val="Subtle Reference"/>
    <w:basedOn w:val="DefaultParagraphFont"/>
    <w:uiPriority w:val="31"/>
    <w:qFormat/>
    <w:rsid w:val="0095595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95595E"/>
    <w:rPr>
      <w:b/>
      <w:bCs/>
      <w:caps w:val="0"/>
      <w:smallCaps/>
      <w:color w:val="auto"/>
      <w:spacing w:val="3"/>
      <w:u w:val="single"/>
    </w:rPr>
  </w:style>
  <w:style w:type="character" w:styleId="BookTitle">
    <w:name w:val="Book Title"/>
    <w:basedOn w:val="DefaultParagraphFont"/>
    <w:uiPriority w:val="33"/>
    <w:qFormat/>
    <w:rsid w:val="0095595E"/>
    <w:rPr>
      <w:b/>
      <w:bCs/>
      <w:smallCaps/>
      <w:spacing w:val="7"/>
    </w:rPr>
  </w:style>
  <w:style w:type="paragraph" w:styleId="TOCHeading">
    <w:name w:val="TOC Heading"/>
    <w:basedOn w:val="Heading1"/>
    <w:next w:val="Normal"/>
    <w:uiPriority w:val="39"/>
    <w:semiHidden/>
    <w:unhideWhenUsed/>
    <w:qFormat/>
    <w:rsid w:val="0095595E"/>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TotalTime>
  <Pages>8</Pages>
  <Words>3387</Words>
  <Characters>18262</Characters>
  <Application>Microsoft Office Word</Application>
  <DocSecurity>0</DocSecurity>
  <Lines>608</Lines>
  <Paragraphs>191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Abdullah Hassan</cp:lastModifiedBy>
  <cp:revision>2</cp:revision>
  <dcterms:created xsi:type="dcterms:W3CDTF">2013-12-23T23:15:00Z</dcterms:created>
  <dcterms:modified xsi:type="dcterms:W3CDTF">2026-04-07T16:29:00Z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a3fe49ba-6085-4efe-8259-6f292a445d01</vt:lpwstr>
  </property>
</Properties>
</file>