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6B1F2A" w:val="clear"/>
        <w:spacing w:after="0" w:before="0"/>
      </w:pPr>
      <w:r>
        <w:rPr>
          <w:rFonts w:ascii="Arial" w:cs="Arial" w:eastAsia="Arial" w:hAnsi="Arial"/>
          <w:b/>
          <w:bCs/>
          <w:sz w:val="4"/>
          <w:szCs w:val="4"/>
        </w:rPr>
        <w:t xml:space="preserve">  </w:t>
      </w:r>
    </w:p>
    <w:p>
      <w:pPr>
        <w:spacing w:after="0" w:before="200"/>
      </w:pPr>
      <w:r>
        <w:rPr>
          <w:rFonts w:ascii="Arial" w:cs="Arial" w:eastAsia="Arial" w:hAnsi="Arial"/>
          <w:sz w:val="20"/>
          <w:szCs w:val="20"/>
        </w:rPr>
        <w:t xml:space="preserve"/>
      </w:r>
    </w:p>
    <w:p>
      <w:pPr>
        <w:spacing w:after="80" w:before="0"/>
      </w:pPr>
      <w:r>
        <w:rPr>
          <w:rFonts w:ascii="Arial" w:cs="Arial" w:eastAsia="Arial" w:hAnsi="Arial"/>
          <w:b/>
          <w:bCs/>
          <w:color w:val="1A1A1A"/>
          <w:sz w:val="56"/>
          <w:szCs w:val="56"/>
        </w:rPr>
        <w:t xml:space="preserve">ABDULLAH HASSAN</w:t>
      </w:r>
    </w:p>
    <w:p>
      <w:pPr>
        <w:spacing w:after="80" w:before="0"/>
      </w:pPr>
      <w:r>
        <w:rPr>
          <w:rFonts w:ascii="Arial" w:cs="Arial" w:eastAsia="Arial" w:hAnsi="Arial"/>
          <w:b/>
          <w:bCs/>
          <w:color w:val="6B1F2A"/>
          <w:sz w:val="28"/>
          <w:szCs w:val="28"/>
        </w:rPr>
        <w:t xml:space="preserve">BRAND &amp; EDITING STYLE GUIDE</w:t>
      </w:r>
    </w:p>
    <w:p>
      <w:pPr>
        <w:spacing w:after="300" w:before="0"/>
      </w:pPr>
      <w:r>
        <w:rPr>
          <w:rFonts w:ascii="Arial" w:cs="Arial" w:eastAsia="Arial" w:hAnsi="Arial"/>
          <w:i/>
          <w:iCs/>
          <w:color w:val="5F5A55"/>
          <w:sz w:val="20"/>
          <w:szCs w:val="20"/>
        </w:rPr>
        <w:t xml:space="preserve">Colour system · Typography · Thumbnail rules · Editing language · Motion principles</w:t>
      </w:r>
    </w:p>
    <w:p>
      <w:pPr>
        <w:pBdr>
          <w:bottom w:val="single" w:color="DDDDDD" w:sz="4" w:space="1"/>
        </w:pBdr>
        <w:spacing w:after="0" w:before="260"/>
      </w:pPr>
    </w:p>
    <w:p>
      <w:pPr>
        <w:spacing w:after="0" w:before="300"/>
      </w:pPr>
      <w:r>
        <w:rPr>
          <w:rFonts w:ascii="Arial" w:cs="Arial" w:eastAsia="Arial" w:hAnsi="Arial"/>
          <w:sz w:val="20"/>
          <w:szCs w:val="20"/>
        </w:rPr>
        <w:t xml:space="preserve"/>
      </w:r>
    </w:p>
    <w:p>
      <w:pPr>
        <w:pBdr>
          <w:left w:val="single" w:color="6B1F2A" w:sz="12" w:space="8"/>
        </w:pBdr>
        <w:spacing w:after="40" w:before="320"/>
        <w:ind w:left="160"/>
      </w:pPr>
      <w:r>
        <w:rPr>
          <w:rFonts w:ascii="Arial" w:cs="Arial" w:eastAsia="Arial" w:hAnsi="Arial"/>
          <w:b/>
          <w:bCs/>
          <w:color w:val="1A1A1A"/>
          <w:sz w:val="22"/>
          <w:szCs w:val="22"/>
        </w:rPr>
        <w:t xml:space="preserve">1. CHANNEL IDENTITY</w:t>
      </w:r>
    </w:p>
    <w:p>
      <w:pPr>
        <w:spacing w:after="0" w:before="8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Channel Name</w:t>
            </w:r>
          </w:p>
        </w:tc>
        <w:tc>
          <w:tcPr>
            <w:tcW w:type="dxa" w:w="7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Abdullah Hassan</w:t>
            </w:r>
          </w:p>
        </w:tc>
      </w:tr>
      <w:tr>
        <w:tc>
          <w:tcPr>
            <w:tcW w:type="dxa" w:w="28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Format</w:t>
            </w:r>
          </w:p>
        </w:tc>
        <w:tc>
          <w:tcPr>
            <w:tcW w:type="dxa" w:w="7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Long-form video journalism (12–18 min) + Short-form (60 sec)</w:t>
            </w:r>
          </w:p>
        </w:tc>
      </w:tr>
      <w:tr>
        <w:tc>
          <w:tcPr>
            <w:tcW w:type="dxa" w:w="28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Editorial Lens</w:t>
            </w:r>
          </w:p>
        </w:tc>
        <w:tc>
          <w:tcPr>
            <w:tcW w:type="dxa" w:w="7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Contrarian, rigorously sourced, worldview-shifting. The question behind every video: what does almost everyone have slightly wrong about this — and what does that error compound into?</w:t>
            </w:r>
          </w:p>
        </w:tc>
      </w:tr>
      <w:tr>
        <w:tc>
          <w:tcPr>
            <w:tcW w:type="dxa" w:w="28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Tonal Reference</w:t>
            </w:r>
          </w:p>
        </w:tc>
        <w:tc>
          <w:tcPr>
            <w:tcW w:type="dxa" w:w="7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Johnny Harris (range + field journalism) · Veritasium (counterintuitive reveals) · 2and20 (documentary structure) · Cleo Abram (production rigour)</w:t>
            </w:r>
          </w:p>
        </w:tc>
      </w:tr>
      <w:tr>
        <w:tc>
          <w:tcPr>
            <w:tcW w:type="dxa" w:w="28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Visual Inspiration</w:t>
            </w:r>
          </w:p>
        </w:tc>
        <w:tc>
          <w:tcPr>
            <w:tcW w:type="dxa" w:w="7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Premium documentary + data journalism. NOT tech-blue SaaS. NOT neon/Tron. Warm authority — earthy, credible, cinematic.</w:t>
            </w:r>
          </w:p>
        </w:tc>
      </w:tr>
    </w:tbl>
    <w:p>
      <w:pPr>
        <w:spacing w:after="0" w:before="300"/>
      </w:pPr>
      <w:r>
        <w:rPr>
          <w:rFonts w:ascii="Arial" w:cs="Arial" w:eastAsia="Arial" w:hAnsi="Arial"/>
          <w:sz w:val="20"/>
          <w:szCs w:val="20"/>
        </w:rPr>
        <w:t xml:space="preserve"/>
      </w:r>
    </w:p>
    <w:p>
      <w:pPr>
        <w:pBdr>
          <w:left w:val="single" w:color="6B1F2A" w:sz="12" w:space="8"/>
        </w:pBdr>
        <w:spacing w:after="40" w:before="320"/>
        <w:ind w:left="160"/>
      </w:pPr>
      <w:r>
        <w:rPr>
          <w:rFonts w:ascii="Arial" w:cs="Arial" w:eastAsia="Arial" w:hAnsi="Arial"/>
          <w:b/>
          <w:bCs/>
          <w:color w:val="1A1A1A"/>
          <w:sz w:val="22"/>
          <w:szCs w:val="22"/>
        </w:rPr>
        <w:t xml:space="preserve">2. BRAND COLOUR SYSTEM</w:t>
      </w:r>
    </w:p>
    <w:p>
      <w:pPr>
        <w:spacing w:after="120" w:before="0"/>
        <w:ind w:left="160"/>
      </w:pPr>
      <w:r>
        <w:rPr>
          <w:rFonts w:ascii="Arial" w:cs="Arial" w:eastAsia="Arial" w:hAnsi="Arial"/>
          <w:i/>
          <w:iCs/>
          <w:color w:val="888888"/>
          <w:sz w:val="18"/>
          <w:szCs w:val="18"/>
        </w:rPr>
        <w:t xml:space="preserve">Four primary colours. Everything on screen — graphics, lower thirds, thumbnails, doc headers — draws from this palette only.</w:t>
      </w:r>
    </w:p>
    <w:p>
      <w:pPr>
        <w:spacing w:after="100" w:before="200"/>
      </w:pPr>
      <w:r>
        <w:rPr>
          <w:rFonts w:ascii="Arial" w:cs="Arial" w:eastAsia="Arial" w:hAnsi="Arial"/>
          <w:b/>
          <w:bCs/>
          <w:color w:val="1A1A1A"/>
          <w:sz w:val="21"/>
          <w:szCs w:val="21"/>
        </w:rPr>
        <w:t xml:space="preserve">2.1  Primary Palette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280"/>
        <w:gridCol w:w="1400"/>
      </w:tblGrid>
      <w:tr>
        <w:tc>
          <w:tcPr>
            <w:tcW w:type="dxa" w:w="2000"/>
            <w:tcBorders>
              <w:top w:val="single" w:color="CCCCCC" w:sz="1"/>
              <w:left w:val="single" w:color="CCCCCC" w:sz="1"/>
              <w:bottom w:val="single" w:color="CCCCCC" w:sz="1"/>
              <w:right w:val="single" w:color="CCCCCC" w:sz="1"/>
            </w:tcBorders>
            <w:shd w:fill="6B1F2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COLOUR NAME</w:t>
            </w:r>
          </w:p>
        </w:tc>
        <w:tc>
          <w:tcPr>
            <w:tcW w:type="dxa" w:w="1400"/>
            <w:tcBorders>
              <w:top w:val="single" w:color="CCCCCC" w:sz="1"/>
              <w:left w:val="single" w:color="CCCCCC" w:sz="1"/>
              <w:bottom w:val="single" w:color="CCCCCC" w:sz="1"/>
              <w:right w:val="single" w:color="CCCCCC" w:sz="1"/>
            </w:tcBorders>
            <w:shd w:fill="6B1F2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HEX</w:t>
            </w:r>
          </w:p>
        </w:tc>
        <w:tc>
          <w:tcPr>
            <w:tcW w:type="dxa" w:w="5280"/>
            <w:tcBorders>
              <w:top w:val="single" w:color="CCCCCC" w:sz="1"/>
              <w:left w:val="single" w:color="CCCCCC" w:sz="1"/>
              <w:bottom w:val="single" w:color="CCCCCC" w:sz="1"/>
              <w:right w:val="single" w:color="CCCCCC" w:sz="1"/>
            </w:tcBorders>
            <w:shd w:fill="6B1F2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USAGE</w:t>
            </w:r>
          </w:p>
        </w:tc>
        <w:tc>
          <w:tcPr>
            <w:tcW w:type="dxa" w:w="1400"/>
            <w:tcBorders>
              <w:top w:val="single" w:color="CCCCCC" w:sz="1"/>
              <w:left w:val="single" w:color="CCCCCC" w:sz="1"/>
              <w:bottom w:val="single" w:color="CCCCCC" w:sz="1"/>
              <w:right w:val="single" w:color="CCCCCC" w:sz="1"/>
            </w:tcBorders>
            <w:shd w:fill="6B1F2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SWATCH</w:t>
            </w:r>
          </w:p>
        </w:tc>
      </w:tr>
      <w:tr>
        <w:tc>
          <w:tcPr>
            <w:tcW w:type="dxa" w:w="20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Parchment Cream</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ourier New" w:cs="Courier New" w:eastAsia="Courier New" w:hAnsi="Courier New"/>
                <w:color w:val="5F5A55"/>
                <w:sz w:val="18"/>
                <w:szCs w:val="18"/>
              </w:rPr>
              <w:t xml:space="preserve">#F5EFE6</w:t>
            </w:r>
          </w:p>
        </w:tc>
        <w:tc>
          <w:tcPr>
            <w:tcW w:type="dxa" w:w="5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Background surfaces, card fills, lower-third base, on-dark text</w:t>
            </w:r>
          </w:p>
        </w:tc>
        <w:tc>
          <w:tcPr>
            <w:tcW w:type="dxa" w:w="1400"/>
            <w:tcBorders>
              <w:top w:val="single" w:color="CCCCCC" w:sz="1"/>
              <w:left w:val="single" w:color="CCCCCC" w:sz="1"/>
              <w:bottom w:val="single" w:color="CCCCCC" w:sz="1"/>
              <w:right w:val="single" w:color="CCCCCC" w:sz="1"/>
            </w:tcBorders>
            <w:shd w:fill="F5EFE6" w:val="clear"/>
            <w:tcMar>
              <w:top w:type="dxa" w:w="140"/>
              <w:left w:type="dxa" w:w="160"/>
              <w:bottom w:type="dxa" w:w="140"/>
              <w:right w:type="dxa" w:w="16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Imperial Burgundy</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ourier New" w:cs="Courier New" w:eastAsia="Courier New" w:hAnsi="Courier New"/>
                <w:color w:val="5F5A55"/>
                <w:sz w:val="18"/>
                <w:szCs w:val="18"/>
              </w:rPr>
              <w:t xml:space="preserve">#6B1F2A</w:t>
            </w:r>
          </w:p>
        </w:tc>
        <w:tc>
          <w:tcPr>
            <w:tcW w:type="dxa" w:w="5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Primary brand identity, CTA accents, doc headers, section borders, act labels</w:t>
            </w:r>
          </w:p>
        </w:tc>
        <w:tc>
          <w:tcPr>
            <w:tcW w:type="dxa" w:w="1400"/>
            <w:tcBorders>
              <w:top w:val="single" w:color="CCCCCC" w:sz="1"/>
              <w:left w:val="single" w:color="CCCCCC" w:sz="1"/>
              <w:bottom w:val="single" w:color="CCCCCC" w:sz="1"/>
              <w:right w:val="single" w:color="CCCCCC" w:sz="1"/>
            </w:tcBorders>
            <w:shd w:fill="6B1F2A" w:val="clear"/>
            <w:tcMar>
              <w:top w:type="dxa" w:w="140"/>
              <w:left w:type="dxa" w:w="160"/>
              <w:bottom w:type="dxa" w:w="140"/>
              <w:right w:type="dxa" w:w="16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Deep Emerald</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ourier New" w:cs="Courier New" w:eastAsia="Courier New" w:hAnsi="Courier New"/>
                <w:color w:val="5F5A55"/>
                <w:sz w:val="18"/>
                <w:szCs w:val="18"/>
              </w:rPr>
              <w:t xml:space="preserve">#1F6F54</w:t>
            </w:r>
          </w:p>
        </w:tc>
        <w:tc>
          <w:tcPr>
            <w:tcW w:type="dxa" w:w="5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Data/fact callouts, verified indicators, contrarian reveals, progress</w:t>
            </w:r>
          </w:p>
        </w:tc>
        <w:tc>
          <w:tcPr>
            <w:tcW w:type="dxa" w:w="1400"/>
            <w:tcBorders>
              <w:top w:val="single" w:color="CCCCCC" w:sz="1"/>
              <w:left w:val="single" w:color="CCCCCC" w:sz="1"/>
              <w:bottom w:val="single" w:color="CCCCCC" w:sz="1"/>
              <w:right w:val="single" w:color="CCCCCC" w:sz="1"/>
            </w:tcBorders>
            <w:shd w:fill="1F6F54" w:val="clear"/>
            <w:tcMar>
              <w:top w:type="dxa" w:w="140"/>
              <w:left w:type="dxa" w:w="160"/>
              <w:bottom w:type="dxa" w:w="140"/>
              <w:right w:type="dxa" w:w="16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Antique Gold</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ourier New" w:cs="Courier New" w:eastAsia="Courier New" w:hAnsi="Courier New"/>
                <w:color w:val="5F5A55"/>
                <w:sz w:val="18"/>
                <w:szCs w:val="18"/>
              </w:rPr>
              <w:t xml:space="preserve">#C6A15B</w:t>
            </w:r>
          </w:p>
        </w:tc>
        <w:tc>
          <w:tcPr>
            <w:tcW w:type="dxa" w:w="5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Luxury accent, quote highlights, seal/stamp elements, hover states</w:t>
            </w:r>
          </w:p>
        </w:tc>
        <w:tc>
          <w:tcPr>
            <w:tcW w:type="dxa" w:w="1400"/>
            <w:tcBorders>
              <w:top w:val="single" w:color="CCCCCC" w:sz="1"/>
              <w:left w:val="single" w:color="CCCCCC" w:sz="1"/>
              <w:bottom w:val="single" w:color="CCCCCC" w:sz="1"/>
              <w:right w:val="single" w:color="CCCCCC" w:sz="1"/>
            </w:tcBorders>
            <w:shd w:fill="C6A15B" w:val="clear"/>
            <w:tcMar>
              <w:top w:type="dxa" w:w="140"/>
              <w:left w:type="dxa" w:w="160"/>
              <w:bottom w:type="dxa" w:w="140"/>
              <w:right w:type="dxa" w:w="160"/>
            </w:tcMar>
          </w:tcPr>
          <w:p>
            <w:r>
              <w:rPr>
                <w:rFonts w:ascii="Arial" w:cs="Arial" w:eastAsia="Arial" w:hAnsi="Arial"/>
                <w:sz w:val="20"/>
                <w:szCs w:val="20"/>
              </w:rPr>
              <w:t xml:space="preserve"/>
            </w:r>
          </w:p>
        </w:tc>
      </w:tr>
    </w:tbl>
    <w:p>
      <w:pPr>
        <w:spacing w:after="0" w:before="200"/>
      </w:pPr>
      <w:r>
        <w:rPr>
          <w:rFonts w:ascii="Arial" w:cs="Arial" w:eastAsia="Arial" w:hAnsi="Arial"/>
          <w:sz w:val="20"/>
          <w:szCs w:val="20"/>
        </w:rPr>
        <w:t xml:space="preserve"/>
      </w:r>
    </w:p>
    <w:p>
      <w:pPr>
        <w:spacing w:after="100" w:before="160"/>
      </w:pPr>
      <w:r>
        <w:rPr>
          <w:rFonts w:ascii="Arial" w:cs="Arial" w:eastAsia="Arial" w:hAnsi="Arial"/>
          <w:b/>
          <w:bCs/>
          <w:color w:val="1A1A1A"/>
          <w:sz w:val="21"/>
          <w:szCs w:val="21"/>
        </w:rPr>
        <w:t xml:space="preserve">2.2  Extended Palette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280"/>
        <w:gridCol w:w="1400"/>
      </w:tblGrid>
      <w:tr>
        <w:tc>
          <w:tcPr>
            <w:tcW w:type="dxa" w:w="2000"/>
            <w:tcBorders>
              <w:top w:val="single" w:color="CCCCCC" w:sz="1"/>
              <w:left w:val="single" w:color="CCCCCC" w:sz="1"/>
              <w:bottom w:val="single" w:color="CCCCCC" w:sz="1"/>
              <w:right w:val="single" w:color="CCCCCC" w:sz="1"/>
            </w:tcBorders>
            <w:shd w:fill="6B1F2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NAME</w:t>
            </w:r>
          </w:p>
        </w:tc>
        <w:tc>
          <w:tcPr>
            <w:tcW w:type="dxa" w:w="1400"/>
            <w:tcBorders>
              <w:top w:val="single" w:color="CCCCCC" w:sz="1"/>
              <w:left w:val="single" w:color="CCCCCC" w:sz="1"/>
              <w:bottom w:val="single" w:color="CCCCCC" w:sz="1"/>
              <w:right w:val="single" w:color="CCCCCC" w:sz="1"/>
            </w:tcBorders>
            <w:shd w:fill="6B1F2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HEX</w:t>
            </w:r>
          </w:p>
        </w:tc>
        <w:tc>
          <w:tcPr>
            <w:tcW w:type="dxa" w:w="5280"/>
            <w:tcBorders>
              <w:top w:val="single" w:color="CCCCCC" w:sz="1"/>
              <w:left w:val="single" w:color="CCCCCC" w:sz="1"/>
              <w:bottom w:val="single" w:color="CCCCCC" w:sz="1"/>
              <w:right w:val="single" w:color="CCCCCC" w:sz="1"/>
            </w:tcBorders>
            <w:shd w:fill="6B1F2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USAGE</w:t>
            </w:r>
          </w:p>
        </w:tc>
        <w:tc>
          <w:tcPr>
            <w:tcW w:type="dxa" w:w="1400"/>
            <w:tcBorders>
              <w:top w:val="single" w:color="CCCCCC" w:sz="1"/>
              <w:left w:val="single" w:color="CCCCCC" w:sz="1"/>
              <w:bottom w:val="single" w:color="CCCCCC" w:sz="1"/>
              <w:right w:val="single" w:color="CCCCCC" w:sz="1"/>
            </w:tcBorders>
            <w:shd w:fill="6B1F2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SWATCH</w:t>
            </w:r>
          </w:p>
        </w:tc>
      </w:tr>
      <w:tr>
        <w:tc>
          <w:tcPr>
            <w:tcW w:type="dxa" w:w="20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Soft Cream</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ourier New" w:cs="Courier New" w:eastAsia="Courier New" w:hAnsi="Courier New"/>
                <w:color w:val="5F5A55"/>
                <w:sz w:val="18"/>
                <w:szCs w:val="18"/>
              </w:rPr>
              <w:t xml:space="preserve">#FBF7F1</w:t>
            </w:r>
          </w:p>
        </w:tc>
        <w:tc>
          <w:tcPr>
            <w:tcW w:type="dxa" w:w="5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Page/slide background (never pure white)</w:t>
            </w:r>
          </w:p>
        </w:tc>
        <w:tc>
          <w:tcPr>
            <w:tcW w:type="dxa" w:w="1400"/>
            <w:tcBorders>
              <w:top w:val="single" w:color="CCCCCC" w:sz="1"/>
              <w:left w:val="single" w:color="CCCCCC" w:sz="1"/>
              <w:bottom w:val="single" w:color="CCCCCC" w:sz="1"/>
              <w:right w:val="single" w:color="CCCCCC" w:sz="1"/>
            </w:tcBorders>
            <w:shd w:fill="FBF7F1" w:val="clear"/>
            <w:tcMar>
              <w:top w:type="dxa" w:w="140"/>
              <w:left w:type="dxa" w:w="160"/>
              <w:bottom w:type="dxa" w:w="140"/>
              <w:right w:type="dxa" w:w="16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Warm Ivory</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ourier New" w:cs="Courier New" w:eastAsia="Courier New" w:hAnsi="Courier New"/>
                <w:color w:val="5F5A55"/>
                <w:sz w:val="18"/>
                <w:szCs w:val="18"/>
              </w:rPr>
              <w:t xml:space="preserve">#EFE6DA</w:t>
            </w:r>
          </w:p>
        </w:tc>
        <w:tc>
          <w:tcPr>
            <w:tcW w:type="dxa" w:w="5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Card surface, label cell fill</w:t>
            </w:r>
          </w:p>
        </w:tc>
        <w:tc>
          <w:tcPr>
            <w:tcW w:type="dxa" w:w="1400"/>
            <w:tcBorders>
              <w:top w:val="single" w:color="CCCCCC" w:sz="1"/>
              <w:left w:val="single" w:color="CCCCCC" w:sz="1"/>
              <w:bottom w:val="single" w:color="CCCCCC" w:sz="1"/>
              <w:right w:val="single" w:color="CCCCCC" w:sz="1"/>
            </w:tcBorders>
            <w:shd w:fill="EFE6DA" w:val="clear"/>
            <w:tcMar>
              <w:top w:type="dxa" w:w="140"/>
              <w:left w:type="dxa" w:w="160"/>
              <w:bottom w:type="dxa" w:w="140"/>
              <w:right w:type="dxa" w:w="16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Deep Wine</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ourier New" w:cs="Courier New" w:eastAsia="Courier New" w:hAnsi="Courier New"/>
                <w:color w:val="5F5A55"/>
                <w:sz w:val="18"/>
                <w:szCs w:val="18"/>
              </w:rPr>
              <w:t xml:space="preserve">#4A141D</w:t>
            </w:r>
          </w:p>
        </w:tc>
        <w:tc>
          <w:tcPr>
            <w:tcW w:type="dxa" w:w="5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Darker burgundy — darkened headers, deep overlays</w:t>
            </w:r>
          </w:p>
        </w:tc>
        <w:tc>
          <w:tcPr>
            <w:tcW w:type="dxa" w:w="1400"/>
            <w:tcBorders>
              <w:top w:val="single" w:color="CCCCCC" w:sz="1"/>
              <w:left w:val="single" w:color="CCCCCC" w:sz="1"/>
              <w:bottom w:val="single" w:color="CCCCCC" w:sz="1"/>
              <w:right w:val="single" w:color="CCCCCC" w:sz="1"/>
            </w:tcBorders>
            <w:shd w:fill="4A141D" w:val="clear"/>
            <w:tcMar>
              <w:top w:type="dxa" w:w="140"/>
              <w:left w:type="dxa" w:w="160"/>
              <w:bottom w:type="dxa" w:w="140"/>
              <w:right w:type="dxa" w:w="16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Light Burgundy</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ourier New" w:cs="Courier New" w:eastAsia="Courier New" w:hAnsi="Courier New"/>
                <w:color w:val="5F5A55"/>
                <w:sz w:val="18"/>
                <w:szCs w:val="18"/>
              </w:rPr>
              <w:t xml:space="preserve">#8B2F3A</w:t>
            </w:r>
          </w:p>
        </w:tc>
        <w:tc>
          <w:tcPr>
            <w:tcW w:type="dxa" w:w="5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Hover states on burgundy elements</w:t>
            </w:r>
          </w:p>
        </w:tc>
        <w:tc>
          <w:tcPr>
            <w:tcW w:type="dxa" w:w="1400"/>
            <w:tcBorders>
              <w:top w:val="single" w:color="CCCCCC" w:sz="1"/>
              <w:left w:val="single" w:color="CCCCCC" w:sz="1"/>
              <w:bottom w:val="single" w:color="CCCCCC" w:sz="1"/>
              <w:right w:val="single" w:color="CCCCCC" w:sz="1"/>
            </w:tcBorders>
            <w:shd w:fill="8B2F3A" w:val="clear"/>
            <w:tcMar>
              <w:top w:type="dxa" w:w="140"/>
              <w:left w:type="dxa" w:w="160"/>
              <w:bottom w:type="dxa" w:w="140"/>
              <w:right w:type="dxa" w:w="16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Light Emerald</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ourier New" w:cs="Courier New" w:eastAsia="Courier New" w:hAnsi="Courier New"/>
                <w:color w:val="5F5A55"/>
                <w:sz w:val="18"/>
                <w:szCs w:val="18"/>
              </w:rPr>
              <w:t xml:space="preserve">#2D8F6F</w:t>
            </w:r>
          </w:p>
        </w:tc>
        <w:tc>
          <w:tcPr>
            <w:tcW w:type="dxa" w:w="5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Hover/active states on emerald elements</w:t>
            </w:r>
          </w:p>
        </w:tc>
        <w:tc>
          <w:tcPr>
            <w:tcW w:type="dxa" w:w="1400"/>
            <w:tcBorders>
              <w:top w:val="single" w:color="CCCCCC" w:sz="1"/>
              <w:left w:val="single" w:color="CCCCCC" w:sz="1"/>
              <w:bottom w:val="single" w:color="CCCCCC" w:sz="1"/>
              <w:right w:val="single" w:color="CCCCCC" w:sz="1"/>
            </w:tcBorders>
            <w:shd w:fill="2D8F6F" w:val="clear"/>
            <w:tcMar>
              <w:top w:type="dxa" w:w="140"/>
              <w:left w:type="dxa" w:w="160"/>
              <w:bottom w:type="dxa" w:w="140"/>
              <w:right w:type="dxa" w:w="16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Light Gold</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ourier New" w:cs="Courier New" w:eastAsia="Courier New" w:hAnsi="Courier New"/>
                <w:color w:val="5F5A55"/>
                <w:sz w:val="18"/>
                <w:szCs w:val="18"/>
              </w:rPr>
              <w:t xml:space="preserve">#E5D199</w:t>
            </w:r>
          </w:p>
        </w:tc>
        <w:tc>
          <w:tcPr>
            <w:tcW w:type="dxa" w:w="5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Soft gold tints, watermark fills</w:t>
            </w:r>
          </w:p>
        </w:tc>
        <w:tc>
          <w:tcPr>
            <w:tcW w:type="dxa" w:w="1400"/>
            <w:tcBorders>
              <w:top w:val="single" w:color="CCCCCC" w:sz="1"/>
              <w:left w:val="single" w:color="CCCCCC" w:sz="1"/>
              <w:bottom w:val="single" w:color="CCCCCC" w:sz="1"/>
              <w:right w:val="single" w:color="CCCCCC" w:sz="1"/>
            </w:tcBorders>
            <w:shd w:fill="E5D199" w:val="clear"/>
            <w:tcMar>
              <w:top w:type="dxa" w:w="140"/>
              <w:left w:type="dxa" w:w="160"/>
              <w:bottom w:type="dxa" w:w="140"/>
              <w:right w:type="dxa" w:w="16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Obsidian Charcoal</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ourier New" w:cs="Courier New" w:eastAsia="Courier New" w:hAnsi="Courier New"/>
                <w:color w:val="5F5A55"/>
                <w:sz w:val="18"/>
                <w:szCs w:val="18"/>
              </w:rPr>
              <w:t xml:space="preserve">#121212</w:t>
            </w:r>
          </w:p>
        </w:tc>
        <w:tc>
          <w:tcPr>
            <w:tcW w:type="dxa" w:w="5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Dark mode base — video overlays, night graphics</w:t>
            </w:r>
          </w:p>
        </w:tc>
        <w:tc>
          <w:tcPr>
            <w:tcW w:type="dxa" w:w="1400"/>
            <w:tcBorders>
              <w:top w:val="single" w:color="CCCCCC" w:sz="1"/>
              <w:left w:val="single" w:color="CCCCCC" w:sz="1"/>
              <w:bottom w:val="single" w:color="CCCCCC" w:sz="1"/>
              <w:right w:val="single" w:color="CCCCCC" w:sz="1"/>
            </w:tcBorders>
            <w:shd w:fill="121212" w:val="clear"/>
            <w:tcMar>
              <w:top w:type="dxa" w:w="140"/>
              <w:left w:type="dxa" w:w="160"/>
              <w:bottom w:type="dxa" w:w="140"/>
              <w:right w:type="dxa" w:w="16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Near Black</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ourier New" w:cs="Courier New" w:eastAsia="Courier New" w:hAnsi="Courier New"/>
                <w:color w:val="5F5A55"/>
                <w:sz w:val="18"/>
                <w:szCs w:val="18"/>
              </w:rPr>
              <w:t xml:space="preserve">#1A1A1A</w:t>
            </w:r>
          </w:p>
        </w:tc>
        <w:tc>
          <w:tcPr>
            <w:tcW w:type="dxa" w:w="5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Primary text in light contexts</w:t>
            </w:r>
          </w:p>
        </w:tc>
        <w:tc>
          <w:tcPr>
            <w:tcW w:type="dxa" w:w="1400"/>
            <w:tcBorders>
              <w:top w:val="single" w:color="CCCCCC" w:sz="1"/>
              <w:left w:val="single" w:color="CCCCCC" w:sz="1"/>
              <w:bottom w:val="single" w:color="CCCCCC" w:sz="1"/>
              <w:right w:val="single" w:color="CCCCCC" w:sz="1"/>
            </w:tcBorders>
            <w:shd w:fill="1A1A1A" w:val="clear"/>
            <w:tcMar>
              <w:top w:type="dxa" w:w="140"/>
              <w:left w:type="dxa" w:w="160"/>
              <w:bottom w:type="dxa" w:w="140"/>
              <w:right w:type="dxa" w:w="16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Muted Ash-Brown</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ourier New" w:cs="Courier New" w:eastAsia="Courier New" w:hAnsi="Courier New"/>
                <w:color w:val="5F5A55"/>
                <w:sz w:val="18"/>
                <w:szCs w:val="18"/>
              </w:rPr>
              <w:t xml:space="preserve">#5F5A55</w:t>
            </w:r>
          </w:p>
        </w:tc>
        <w:tc>
          <w:tcPr>
            <w:tcW w:type="dxa" w:w="5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Body copy, secondary text</w:t>
            </w:r>
          </w:p>
        </w:tc>
        <w:tc>
          <w:tcPr>
            <w:tcW w:type="dxa" w:w="1400"/>
            <w:tcBorders>
              <w:top w:val="single" w:color="CCCCCC" w:sz="1"/>
              <w:left w:val="single" w:color="CCCCCC" w:sz="1"/>
              <w:bottom w:val="single" w:color="CCCCCC" w:sz="1"/>
              <w:right w:val="single" w:color="CCCCCC" w:sz="1"/>
            </w:tcBorders>
            <w:shd w:fill="5F5A55" w:val="clear"/>
            <w:tcMar>
              <w:top w:type="dxa" w:w="140"/>
              <w:left w:type="dxa" w:w="160"/>
              <w:bottom w:type="dxa" w:w="140"/>
              <w:right w:type="dxa" w:w="16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Subtle Taupe</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ourier New" w:cs="Courier New" w:eastAsia="Courier New" w:hAnsi="Courier New"/>
                <w:color w:val="5F5A55"/>
                <w:sz w:val="18"/>
                <w:szCs w:val="18"/>
              </w:rPr>
              <w:t xml:space="preserve">#B8AEA1</w:t>
            </w:r>
          </w:p>
        </w:tc>
        <w:tc>
          <w:tcPr>
            <w:tcW w:type="dxa" w:w="5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Placeholder text, faint labels</w:t>
            </w:r>
          </w:p>
        </w:tc>
        <w:tc>
          <w:tcPr>
            <w:tcW w:type="dxa" w:w="1400"/>
            <w:tcBorders>
              <w:top w:val="single" w:color="CCCCCC" w:sz="1"/>
              <w:left w:val="single" w:color="CCCCCC" w:sz="1"/>
              <w:bottom w:val="single" w:color="CCCCCC" w:sz="1"/>
              <w:right w:val="single" w:color="CCCCCC" w:sz="1"/>
            </w:tcBorders>
            <w:shd w:fill="B8AEA1" w:val="clear"/>
            <w:tcMar>
              <w:top w:type="dxa" w:w="140"/>
              <w:left w:type="dxa" w:w="160"/>
              <w:bottom w:type="dxa" w:w="140"/>
              <w:right w:type="dxa" w:w="160"/>
            </w:tcMar>
          </w:tcPr>
          <w:p>
            <w:r>
              <w:rPr>
                <w:rFonts w:ascii="Arial" w:cs="Arial" w:eastAsia="Arial" w:hAnsi="Arial"/>
                <w:sz w:val="20"/>
                <w:szCs w:val="20"/>
              </w:rPr>
              <w:t xml:space="preserve"/>
            </w:r>
          </w:p>
        </w:tc>
      </w:tr>
    </w:tbl>
    <w:p>
      <w:pPr>
        <w:spacing w:after="0" w:before="200"/>
      </w:pPr>
      <w:r>
        <w:rPr>
          <w:rFonts w:ascii="Arial" w:cs="Arial" w:eastAsia="Arial" w:hAnsi="Arial"/>
          <w:sz w:val="20"/>
          <w:szCs w:val="20"/>
        </w:rPr>
        <w:t xml:space="preserve"/>
      </w:r>
    </w:p>
    <w:p>
      <w:pPr>
        <w:spacing w:after="100" w:before="160"/>
      </w:pPr>
      <w:r>
        <w:rPr>
          <w:rFonts w:ascii="Arial" w:cs="Arial" w:eastAsia="Arial" w:hAnsi="Arial"/>
          <w:b/>
          <w:bCs/>
          <w:color w:val="1A1A1A"/>
          <w:sz w:val="21"/>
          <w:szCs w:val="21"/>
        </w:rPr>
        <w:t xml:space="preserve">2.3  Colour Role Rules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Backgrounds</w:t>
            </w:r>
          </w:p>
        </w:tc>
        <w:tc>
          <w:tcPr>
            <w:tcW w:type="dxa" w:w="7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Always Soft Cream (#FBF7F1) or Parchment Cream (#F5EFE6). Never pure white (#FFF). Never pure black — use Obsidian Charcoal (#121212) for dark contexts.</w:t>
            </w:r>
          </w:p>
        </w:tc>
      </w:tr>
      <w:tr>
        <w:tc>
          <w:tcPr>
            <w:tcW w:type="dxa" w:w="28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Primary text (light bg)</w:t>
            </w:r>
          </w:p>
        </w:tc>
        <w:tc>
          <w:tcPr>
            <w:tcW w:type="dxa" w:w="7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Near Black (#1A1A1A). Body copy in Muted Ash-Brown (#5F5A55).</w:t>
            </w:r>
          </w:p>
        </w:tc>
      </w:tr>
      <w:tr>
        <w:tc>
          <w:tcPr>
            <w:tcW w:type="dxa" w:w="28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Primary text (dark bg)</w:t>
            </w:r>
          </w:p>
        </w:tc>
        <w:tc>
          <w:tcPr>
            <w:tcW w:type="dxa" w:w="7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Parchment Cream (#F5EFE6). Never #FFFFFF.</w:t>
            </w:r>
          </w:p>
        </w:tc>
      </w:tr>
      <w:tr>
        <w:tc>
          <w:tcPr>
            <w:tcW w:type="dxa" w:w="28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Accent / CTA</w:t>
            </w:r>
          </w:p>
        </w:tc>
        <w:tc>
          <w:tcPr>
            <w:tcW w:type="dxa" w:w="7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Imperial Burgundy (#6B1F2A). Hover → Light Burgundy (#8B2F3A).</w:t>
            </w:r>
          </w:p>
        </w:tc>
      </w:tr>
      <w:tr>
        <w:tc>
          <w:tcPr>
            <w:tcW w:type="dxa" w:w="28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Data / Fact callouts</w:t>
            </w:r>
          </w:p>
        </w:tc>
        <w:tc>
          <w:tcPr>
            <w:tcW w:type="dxa" w:w="7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Deep Emerald (#1F6F54). Use for statistics, verified claims, chart callouts.</w:t>
            </w:r>
          </w:p>
        </w:tc>
      </w:tr>
      <w:tr>
        <w:tc>
          <w:tcPr>
            <w:tcW w:type="dxa" w:w="28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Luxury / Quote accents</w:t>
            </w:r>
          </w:p>
        </w:tc>
        <w:tc>
          <w:tcPr>
            <w:tcW w:type="dxa" w:w="7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Antique Gold (#C6A15B). Sparingly — reserved for pull quotes, seals, premium moments.</w:t>
            </w:r>
          </w:p>
        </w:tc>
      </w:tr>
      <w:tr>
        <w:tc>
          <w:tcPr>
            <w:tcW w:type="dxa" w:w="28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Never use</w:t>
            </w:r>
          </w:p>
        </w:tc>
        <w:tc>
          <w:tcPr>
            <w:tcW w:type="dxa" w:w="7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Pure blue, neon colours, generic tech gradients. This palette is warm authority, not cold SaaS.</w:t>
            </w:r>
          </w:p>
        </w:tc>
      </w:tr>
    </w:tbl>
    <w:p>
      <w:pPr>
        <w:spacing w:after="0" w:before="300"/>
      </w:pPr>
      <w:r>
        <w:rPr>
          <w:rFonts w:ascii="Arial" w:cs="Arial" w:eastAsia="Arial" w:hAnsi="Arial"/>
          <w:sz w:val="20"/>
          <w:szCs w:val="20"/>
        </w:rPr>
        <w:t xml:space="preserve"/>
      </w:r>
    </w:p>
    <w:p>
      <w:pPr>
        <w:spacing w:after="100" w:before="160"/>
      </w:pPr>
      <w:r>
        <w:rPr>
          <w:rFonts w:ascii="Arial" w:cs="Arial" w:eastAsia="Arial" w:hAnsi="Arial"/>
          <w:b/>
          <w:bCs/>
          <w:color w:val="1A1A1A"/>
          <w:sz w:val="21"/>
          <w:szCs w:val="21"/>
        </w:rPr>
        <w:t xml:space="preserve">2.4  Brand Gradient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Direction</w:t>
            </w:r>
          </w:p>
        </w:tc>
        <w:tc>
          <w:tcPr>
            <w:tcW w:type="dxa" w:w="7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135 degrees (diagonal, top-left → bottom-right)</w:t>
            </w:r>
          </w:p>
        </w:tc>
      </w:tr>
      <w:tr>
        <w:tc>
          <w:tcPr>
            <w:tcW w:type="dxa" w:w="28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Stops</w:t>
            </w:r>
          </w:p>
        </w:tc>
        <w:tc>
          <w:tcPr>
            <w:tcW w:type="dxa" w:w="7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Burgundy #6B1F2A → Emerald #1F6F54 → Gold #C6A15B</w:t>
            </w:r>
          </w:p>
        </w:tc>
      </w:tr>
      <w:tr>
        <w:tc>
          <w:tcPr>
            <w:tcW w:type="dxa" w:w="28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Usage</w:t>
            </w:r>
          </w:p>
        </w:tc>
        <w:tc>
          <w:tcPr>
            <w:tcW w:type="dxa" w:w="7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Key headline keyword in thumbnails, title card reveal, channel logo mark</w:t>
            </w:r>
          </w:p>
        </w:tc>
      </w:tr>
      <w:tr>
        <w:tc>
          <w:tcPr>
            <w:tcW w:type="dxa" w:w="28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Rule</w:t>
            </w:r>
          </w:p>
        </w:tc>
        <w:tc>
          <w:tcPr>
            <w:tcW w:type="dxa" w:w="7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Apply to ONE focal element per frame. Never gradient the entire background.</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CCCCCC" w:sz="1"/>
              <w:left w:val="single" w:color="CCCCCC" w:sz="1"/>
              <w:bottom w:val="single" w:color="CCCCCC" w:sz="1"/>
              <w:right w:val="single" w:color="CCCCCC" w:sz="1"/>
            </w:tcBorders>
            <w:shd w:fill="6B1F2A" w:val="clear"/>
            <w:tcMar>
              <w:top w:type="dxa" w:w="140"/>
              <w:left w:type="dxa" w:w="160"/>
              <w:bottom w:type="dxa" w:w="140"/>
              <w:right w:type="dxa" w:w="160"/>
            </w:tcMar>
          </w:tcPr>
          <w:p>
            <w:pPr>
              <w:jc w:val="center"/>
            </w:pPr>
            <w:r>
              <w:rPr>
                <w:rFonts w:ascii="Arial" w:cs="Arial" w:eastAsia="Arial" w:hAnsi="Arial"/>
                <w:b/>
                <w:bCs/>
                <w:color w:val="FFFFFF"/>
                <w:sz w:val="18"/>
                <w:szCs w:val="18"/>
              </w:rPr>
              <w:t xml:space="preserve">Burgundy</w:t>
            </w:r>
          </w:p>
        </w:tc>
        <w:tc>
          <w:tcPr>
            <w:tcW w:type="dxa" w:w="3360"/>
            <w:tcBorders>
              <w:top w:val="single" w:color="CCCCCC" w:sz="1"/>
              <w:left w:val="single" w:color="CCCCCC" w:sz="1"/>
              <w:bottom w:val="single" w:color="CCCCCC" w:sz="1"/>
              <w:right w:val="single" w:color="CCCCCC" w:sz="1"/>
            </w:tcBorders>
            <w:shd w:fill="1F6F54" w:val="clear"/>
            <w:tcMar>
              <w:top w:type="dxa" w:w="140"/>
              <w:left w:type="dxa" w:w="160"/>
              <w:bottom w:type="dxa" w:w="140"/>
              <w:right w:type="dxa" w:w="160"/>
            </w:tcMar>
          </w:tcPr>
          <w:p>
            <w:pPr>
              <w:jc w:val="center"/>
            </w:pPr>
            <w:r>
              <w:rPr>
                <w:rFonts w:ascii="Arial" w:cs="Arial" w:eastAsia="Arial" w:hAnsi="Arial"/>
                <w:b/>
                <w:bCs/>
                <w:color w:val="FFFFFF"/>
                <w:sz w:val="18"/>
                <w:szCs w:val="18"/>
              </w:rPr>
              <w:t xml:space="preserve">Emerald</w:t>
            </w:r>
          </w:p>
        </w:tc>
        <w:tc>
          <w:tcPr>
            <w:tcW w:type="dxa" w:w="3360"/>
            <w:tcBorders>
              <w:top w:val="single" w:color="CCCCCC" w:sz="1"/>
              <w:left w:val="single" w:color="CCCCCC" w:sz="1"/>
              <w:bottom w:val="single" w:color="CCCCCC" w:sz="1"/>
              <w:right w:val="single" w:color="CCCCCC" w:sz="1"/>
            </w:tcBorders>
            <w:shd w:fill="C6A15B" w:val="clear"/>
            <w:tcMar>
              <w:top w:type="dxa" w:w="140"/>
              <w:left w:type="dxa" w:w="160"/>
              <w:bottom w:type="dxa" w:w="140"/>
              <w:right w:type="dxa" w:w="160"/>
            </w:tcMar>
          </w:tcPr>
          <w:p>
            <w:pPr>
              <w:jc w:val="center"/>
            </w:pPr>
            <w:r>
              <w:rPr>
                <w:rFonts w:ascii="Arial" w:cs="Arial" w:eastAsia="Arial" w:hAnsi="Arial"/>
                <w:b/>
                <w:bCs/>
                <w:color w:val="1A1A1A"/>
                <w:sz w:val="18"/>
                <w:szCs w:val="18"/>
              </w:rPr>
              <w:t xml:space="preserve">Gold</w:t>
            </w:r>
          </w:p>
        </w:tc>
      </w:tr>
    </w:tbl>
    <w:p>
      <w:pPr>
        <w:spacing w:after="0" w:before="300"/>
      </w:pPr>
      <w:r>
        <w:rPr>
          <w:rFonts w:ascii="Arial" w:cs="Arial" w:eastAsia="Arial" w:hAnsi="Arial"/>
          <w:sz w:val="20"/>
          <w:szCs w:val="20"/>
        </w:rPr>
        <w:t xml:space="preserve"/>
      </w:r>
    </w:p>
    <w:p>
      <w:pPr>
        <w:pBdr>
          <w:left w:val="single" w:color="1F6F54" w:sz="12" w:space="8"/>
        </w:pBdr>
        <w:spacing w:after="40" w:before="320"/>
        <w:ind w:left="160"/>
      </w:pPr>
      <w:r>
        <w:rPr>
          <w:rFonts w:ascii="Arial" w:cs="Arial" w:eastAsia="Arial" w:hAnsi="Arial"/>
          <w:b/>
          <w:bCs/>
          <w:color w:val="1A1A1A"/>
          <w:sz w:val="22"/>
          <w:szCs w:val="22"/>
        </w:rPr>
        <w:t xml:space="preserve">3. TYPOGRAPHY</w:t>
      </w:r>
    </w:p>
    <w:p>
      <w:pPr>
        <w:spacing w:after="120" w:before="0"/>
        <w:ind w:left="160"/>
      </w:pPr>
      <w:r>
        <w:rPr>
          <w:rFonts w:ascii="Arial" w:cs="Arial" w:eastAsia="Arial" w:hAnsi="Arial"/>
          <w:i/>
          <w:iCs/>
          <w:color w:val="888888"/>
          <w:sz w:val="18"/>
          <w:szCs w:val="18"/>
        </w:rPr>
        <w:t xml:space="preserve">Font choices and usage hierarchy. Applies to all graphics, lower thirds, thumbnail text, and document headers.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Primary Font</w:t>
            </w:r>
          </w:p>
        </w:tc>
        <w:tc>
          <w:tcPr>
            <w:tcW w:type="dxa" w:w="7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Inter (weights 300–900). Use for all body copy, labels, UI text, lower thirds.</w:t>
            </w:r>
          </w:p>
        </w:tc>
      </w:tr>
      <w:tr>
        <w:tc>
          <w:tcPr>
            <w:tcW w:type="dxa" w:w="28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Display / Headline</w:t>
            </w:r>
          </w:p>
        </w:tc>
        <w:tc>
          <w:tcPr>
            <w:tcW w:type="dxa" w:w="7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Inter Black (900) or Bold (700). Tracking -0.03em. Leading 1.05 for large headings.</w:t>
            </w:r>
          </w:p>
        </w:tc>
      </w:tr>
      <w:tr>
        <w:tc>
          <w:tcPr>
            <w:tcW w:type="dxa" w:w="28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Monospace / Data</w:t>
            </w:r>
          </w:p>
        </w:tc>
        <w:tc>
          <w:tcPr>
            <w:tcW w:type="dxa" w:w="7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JetBrains Mono or Courier New. Use exclusively for statistics, hex codes, timestamps, data labels.</w:t>
            </w:r>
          </w:p>
        </w:tc>
      </w:tr>
      <w:tr>
        <w:tc>
          <w:tcPr>
            <w:tcW w:type="dxa" w:w="28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On-screen body copy</w:t>
            </w:r>
          </w:p>
        </w:tc>
        <w:tc>
          <w:tcPr>
            <w:tcW w:type="dxa" w:w="7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Inter 400. Line-height 1.8. Muted Ash-Brown (#5F5A55) on light, Cream on dark.</w:t>
            </w:r>
          </w:p>
        </w:tc>
      </w:tr>
      <w:tr>
        <w:tc>
          <w:tcPr>
            <w:tcW w:type="dxa" w:w="28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Labels &amp; Caps</w:t>
            </w:r>
          </w:p>
        </w:tc>
        <w:tc>
          <w:tcPr>
            <w:tcW w:type="dxa" w:w="7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Inter 600, uppercase, wider tracking. Monospace for numeric data.</w:t>
            </w:r>
          </w:p>
        </w:tc>
      </w:tr>
      <w:tr>
        <w:tc>
          <w:tcPr>
            <w:tcW w:type="dxa" w:w="28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Key rule</w:t>
            </w:r>
          </w:p>
        </w:tc>
        <w:tc>
          <w:tcPr>
            <w:tcW w:type="dxa" w:w="7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Never use font-weight 400 for anything headline-sized. Minimum 600 for anything over 24pt.</w:t>
            </w:r>
          </w:p>
        </w:tc>
      </w:tr>
    </w:tbl>
    <w:p>
      <w:pPr>
        <w:spacing w:after="0" w:before="200"/>
      </w:pPr>
      <w:r>
        <w:rPr>
          <w:rFonts w:ascii="Arial" w:cs="Arial" w:eastAsia="Arial" w:hAnsi="Arial"/>
          <w:sz w:val="20"/>
          <w:szCs w:val="20"/>
        </w:rPr>
        <w:t xml:space="preserve"/>
      </w:r>
    </w:p>
    <w:p>
      <w:pPr>
        <w:spacing w:after="100" w:before="160"/>
      </w:pPr>
      <w:r>
        <w:rPr>
          <w:rFonts w:ascii="Arial" w:cs="Arial" w:eastAsia="Arial" w:hAnsi="Arial"/>
          <w:b/>
          <w:bCs/>
          <w:color w:val="1A1A1A"/>
          <w:sz w:val="21"/>
          <w:szCs w:val="21"/>
        </w:rPr>
        <w:t xml:space="preserve">3.1  Type Scale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400"/>
        <w:gridCol w:w="5680"/>
      </w:tblGrid>
      <w:tr>
        <w:tc>
          <w:tcPr>
            <w:tcW w:type="dxa" w:w="1600"/>
            <w:tcBorders>
              <w:top w:val="single" w:color="CCCCCC" w:sz="1"/>
              <w:left w:val="single" w:color="CCCCCC" w:sz="1"/>
              <w:bottom w:val="single" w:color="CCCCCC" w:sz="1"/>
              <w:right w:val="single" w:color="CCCCCC" w:sz="1"/>
            </w:tcBorders>
            <w:shd w:fill="6B1F2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ELEMENT</w:t>
            </w:r>
          </w:p>
        </w:tc>
        <w:tc>
          <w:tcPr>
            <w:tcW w:type="dxa" w:w="1400"/>
            <w:tcBorders>
              <w:top w:val="single" w:color="CCCCCC" w:sz="1"/>
              <w:left w:val="single" w:color="CCCCCC" w:sz="1"/>
              <w:bottom w:val="single" w:color="CCCCCC" w:sz="1"/>
              <w:right w:val="single" w:color="CCCCCC" w:sz="1"/>
            </w:tcBorders>
            <w:shd w:fill="6B1F2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SIZE</w:t>
            </w:r>
          </w:p>
        </w:tc>
        <w:tc>
          <w:tcPr>
            <w:tcW w:type="dxa" w:w="1400"/>
            <w:tcBorders>
              <w:top w:val="single" w:color="CCCCCC" w:sz="1"/>
              <w:left w:val="single" w:color="CCCCCC" w:sz="1"/>
              <w:bottom w:val="single" w:color="CCCCCC" w:sz="1"/>
              <w:right w:val="single" w:color="CCCCCC" w:sz="1"/>
            </w:tcBorders>
            <w:shd w:fill="6B1F2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WEIGHT</w:t>
            </w:r>
          </w:p>
        </w:tc>
        <w:tc>
          <w:tcPr>
            <w:tcW w:type="dxa" w:w="5680"/>
            <w:tcBorders>
              <w:top w:val="single" w:color="CCCCCC" w:sz="1"/>
              <w:left w:val="single" w:color="CCCCCC" w:sz="1"/>
              <w:bottom w:val="single" w:color="CCCCCC" w:sz="1"/>
              <w:right w:val="single" w:color="CCCCCC" w:sz="1"/>
            </w:tcBorders>
            <w:shd w:fill="6B1F2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NOTES</w:t>
            </w:r>
          </w:p>
        </w:tc>
      </w:tr>
      <w:tr>
        <w:tc>
          <w:tcPr>
            <w:tcW w:type="dxa" w:w="16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Hero / Thumbnail H1</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48–72pt</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900</w:t>
            </w:r>
          </w:p>
        </w:tc>
        <w:tc>
          <w:tcPr>
            <w:tcW w:type="dxa" w:w="5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Gradient keyword. Tracking -0.03em.</w:t>
            </w:r>
          </w:p>
        </w:tc>
      </w:tr>
      <w:tr>
        <w:tc>
          <w:tcPr>
            <w:tcW w:type="dxa" w:w="16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Chapter Title H2</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32–40pt</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700</w:t>
            </w:r>
          </w:p>
        </w:tc>
        <w:tc>
          <w:tcPr>
            <w:tcW w:type="dxa" w:w="5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Burgundy or Near Black.</w:t>
            </w:r>
          </w:p>
        </w:tc>
      </w:tr>
      <w:tr>
        <w:tc>
          <w:tcPr>
            <w:tcW w:type="dxa" w:w="16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Section H3</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24pt</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600</w:t>
            </w:r>
          </w:p>
        </w:tc>
        <w:tc>
          <w:tcPr>
            <w:tcW w:type="dxa" w:w="5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Emerald or Burgundy.</w:t>
            </w:r>
          </w:p>
        </w:tc>
      </w:tr>
      <w:tr>
        <w:tc>
          <w:tcPr>
            <w:tcW w:type="dxa" w:w="16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Card / Lower-Third Title</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18–20pt</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700</w:t>
            </w:r>
          </w:p>
        </w:tc>
        <w:tc>
          <w:tcPr>
            <w:tcW w:type="dxa" w:w="5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Near Black on cream.</w:t>
            </w:r>
          </w:p>
        </w:tc>
      </w:tr>
      <w:tr>
        <w:tc>
          <w:tcPr>
            <w:tcW w:type="dxa" w:w="16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Body / Script</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12–14pt</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400</w:t>
            </w:r>
          </w:p>
        </w:tc>
        <w:tc>
          <w:tcPr>
            <w:tcW w:type="dxa" w:w="5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Muted Ash-Brown. Line-height 1.8.</w:t>
            </w:r>
          </w:p>
        </w:tc>
      </w:tr>
      <w:tr>
        <w:tc>
          <w:tcPr>
            <w:tcW w:type="dxa" w:w="16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Data Labels / Stats</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10–12pt</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600</w:t>
            </w:r>
          </w:p>
        </w:tc>
        <w:tc>
          <w:tcPr>
            <w:tcW w:type="dxa" w:w="5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Monospace. Emerald or Gold.</w:t>
            </w:r>
          </w:p>
        </w:tc>
      </w:tr>
      <w:tr>
        <w:tc>
          <w:tcPr>
            <w:tcW w:type="dxa" w:w="16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Captions / Fine Print</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10pt</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400</w:t>
            </w:r>
          </w:p>
        </w:tc>
        <w:tc>
          <w:tcPr>
            <w:tcW w:type="dxa" w:w="5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Subtle Taupe (#B8AEA1).</w:t>
            </w:r>
          </w:p>
        </w:tc>
      </w:tr>
    </w:tbl>
    <w:p>
      <w:pPr>
        <w:spacing w:after="0" w:before="300"/>
      </w:pPr>
      <w:r>
        <w:rPr>
          <w:rFonts w:ascii="Arial" w:cs="Arial" w:eastAsia="Arial" w:hAnsi="Arial"/>
          <w:sz w:val="20"/>
          <w:szCs w:val="20"/>
        </w:rPr>
        <w:t xml:space="preserve"/>
      </w:r>
    </w:p>
    <w:p>
      <w:pPr>
        <w:pBdr>
          <w:left w:val="single" w:color="C6A15B" w:sz="12" w:space="8"/>
        </w:pBdr>
        <w:spacing w:after="40" w:before="320"/>
        <w:ind w:left="160"/>
      </w:pPr>
      <w:r>
        <w:rPr>
          <w:rFonts w:ascii="Arial" w:cs="Arial" w:eastAsia="Arial" w:hAnsi="Arial"/>
          <w:b/>
          <w:bCs/>
          <w:color w:val="1A1A1A"/>
          <w:sz w:val="22"/>
          <w:szCs w:val="22"/>
        </w:rPr>
        <w:t xml:space="preserve">4. THUMBNAIL SYSTEM</w:t>
      </w:r>
    </w:p>
    <w:p>
      <w:pPr>
        <w:spacing w:after="120" w:before="0"/>
        <w:ind w:left="160"/>
      </w:pPr>
      <w:r>
        <w:rPr>
          <w:rFonts w:ascii="Arial" w:cs="Arial" w:eastAsia="Arial" w:hAnsi="Arial"/>
          <w:i/>
          <w:iCs/>
          <w:color w:val="888888"/>
          <w:sz w:val="18"/>
          <w:szCs w:val="18"/>
        </w:rPr>
        <w:t xml:space="preserve">Every thumbnail is a one-frame argument. Consistent rules across all videos.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Background</w:t>
            </w:r>
          </w:p>
        </w:tc>
        <w:tc>
          <w:tcPr>
            <w:tcW w:type="dxa" w:w="7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Dark (Obsidian Charcoal or near-black image) OR warm cream — never a mid-tone grey.</w:t>
            </w:r>
          </w:p>
        </w:tc>
      </w:tr>
      <w:tr>
        <w:tc>
          <w:tcPr>
            <w:tcW w:type="dxa" w:w="28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Text colour (dark bg)</w:t>
            </w:r>
          </w:p>
        </w:tc>
        <w:tc>
          <w:tcPr>
            <w:tcW w:type="dxa" w:w="7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Parchment Cream (#F5EFE6) for main text. Antique Gold (#C6A15B) for accent/keyword.</w:t>
            </w:r>
          </w:p>
        </w:tc>
      </w:tr>
      <w:tr>
        <w:tc>
          <w:tcPr>
            <w:tcW w:type="dxa" w:w="28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Text colour (light bg)</w:t>
            </w:r>
          </w:p>
        </w:tc>
        <w:tc>
          <w:tcPr>
            <w:tcW w:type="dxa" w:w="7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Near Black (#1A1A1A). Burgundy for keyword/accent.</w:t>
            </w:r>
          </w:p>
        </w:tc>
      </w:tr>
      <w:tr>
        <w:tc>
          <w:tcPr>
            <w:tcW w:type="dxa" w:w="28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Gradient application</w:t>
            </w:r>
          </w:p>
        </w:tc>
        <w:tc>
          <w:tcPr>
            <w:tcW w:type="dxa" w:w="7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Apply the brand gradient (Burgundy→Emerald→Gold) to the ONE keyword that carries the thesis. Nothing else.</w:t>
            </w:r>
          </w:p>
        </w:tc>
      </w:tr>
      <w:tr>
        <w:tc>
          <w:tcPr>
            <w:tcW w:type="dxa" w:w="28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Typography</w:t>
            </w:r>
          </w:p>
        </w:tc>
        <w:tc>
          <w:tcPr>
            <w:tcW w:type="dxa" w:w="7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Inter 900 (Black). 2–5 words maximum. No sentence case — headline caps or full caps.</w:t>
            </w:r>
          </w:p>
        </w:tc>
      </w:tr>
      <w:tr>
        <w:tc>
          <w:tcPr>
            <w:tcW w:type="dxa" w:w="28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Layout principle</w:t>
            </w:r>
          </w:p>
        </w:tc>
        <w:tc>
          <w:tcPr>
            <w:tcW w:type="dxa" w:w="7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One dominant subject (face OR graphic). One text cluster. No competing focal points.</w:t>
            </w:r>
          </w:p>
        </w:tc>
      </w:tr>
      <w:tr>
        <w:tc>
          <w:tcPr>
            <w:tcW w:type="dxa" w:w="28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Scroll-stop emotion</w:t>
            </w:r>
          </w:p>
        </w:tc>
        <w:tc>
          <w:tcPr>
            <w:tcW w:type="dxa" w:w="7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Each thumbnail must trigger one: Curiosity / Shock / Disbelief / Intrigue. Label it in the pitch doc.</w:t>
            </w:r>
          </w:p>
        </w:tc>
      </w:tr>
      <w:tr>
        <w:tc>
          <w:tcPr>
            <w:tcW w:type="dxa" w:w="28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Consistency</w:t>
            </w:r>
          </w:p>
        </w:tc>
        <w:tc>
          <w:tcPr>
            <w:tcW w:type="dxa" w:w="7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Same font, same weight hierarchy, same colour logic across all thumbnails. Viewers should recognise the channel on a grid.</w:t>
            </w:r>
          </w:p>
        </w:tc>
      </w:tr>
      <w:tr>
        <w:tc>
          <w:tcPr>
            <w:tcW w:type="dxa" w:w="28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Reference</w:t>
            </w:r>
          </w:p>
        </w:tc>
        <w:tc>
          <w:tcPr>
            <w:tcW w:type="dxa" w:w="7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Study 2and20 thumbnail language: high contrast, provocative framing, strong typography.</w:t>
            </w:r>
          </w:p>
        </w:tc>
      </w:tr>
    </w:tbl>
    <w:p>
      <w:pPr>
        <w:spacing w:after="0" w:before="200"/>
      </w:pPr>
      <w:r>
        <w:rPr>
          <w:rFonts w:ascii="Arial" w:cs="Arial" w:eastAsia="Arial" w:hAnsi="Arial"/>
          <w:sz w:val="20"/>
          <w:szCs w:val="20"/>
        </w:rPr>
        <w:t xml:space="preserve"/>
      </w:r>
    </w:p>
    <w:p>
      <w:pPr>
        <w:spacing w:after="100" w:before="160"/>
      </w:pPr>
      <w:r>
        <w:rPr>
          <w:rFonts w:ascii="Arial" w:cs="Arial" w:eastAsia="Arial" w:hAnsi="Arial"/>
          <w:b/>
          <w:bCs/>
          <w:color w:val="1A1A1A"/>
          <w:sz w:val="21"/>
          <w:szCs w:val="21"/>
        </w:rPr>
        <w:t xml:space="preserve">4.1  Title Formulas That Perform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CCCCCC" w:sz="1"/>
              <w:left w:val="single" w:color="CCCCCC" w:sz="1"/>
              <w:bottom w:val="single" w:color="CCCCCC" w:sz="1"/>
              <w:right w:val="single" w:color="CCCCCC" w:sz="1"/>
            </w:tcBorders>
            <w:shd w:fill="6B1F2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FORMAT</w:t>
            </w:r>
          </w:p>
        </w:tc>
        <w:tc>
          <w:tcPr>
            <w:tcW w:type="dxa" w:w="7280"/>
            <w:tcBorders>
              <w:top w:val="single" w:color="CCCCCC" w:sz="1"/>
              <w:left w:val="single" w:color="CCCCCC" w:sz="1"/>
              <w:bottom w:val="single" w:color="CCCCCC" w:sz="1"/>
              <w:right w:val="single" w:color="CCCCCC" w:sz="1"/>
            </w:tcBorders>
            <w:shd w:fill="6B1F2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EXAMPLE</w:t>
            </w:r>
          </w:p>
        </w:tc>
      </w:tr>
      <w:tr>
        <w:tc>
          <w:tcPr>
            <w:tcW w:type="dxa" w:w="28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"Why [X] Is [Surprising Thing]"</w:t>
            </w:r>
          </w:p>
        </w:tc>
        <w:tc>
          <w:tcPr>
            <w:tcW w:type="dxa" w:w="7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"Why Gaming Is Making Men Lonelier"</w:t>
            </w:r>
          </w:p>
        </w:tc>
      </w:tr>
      <w:tr>
        <w:tc>
          <w:tcPr>
            <w:tcW w:type="dxa" w:w="28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"Why No One Wants To [X]"</w:t>
            </w:r>
          </w:p>
        </w:tc>
        <w:tc>
          <w:tcPr>
            <w:tcW w:type="dxa" w:w="7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"Why No One Talks About Africa's Debt Crisis"</w:t>
            </w:r>
          </w:p>
        </w:tc>
      </w:tr>
      <w:tr>
        <w:tc>
          <w:tcPr>
            <w:tcW w:type="dxa" w:w="28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"The [X] Nobody Told You About"</w:t>
            </w:r>
          </w:p>
        </w:tc>
        <w:tc>
          <w:tcPr>
            <w:tcW w:type="dxa" w:w="7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"The Space Race Nobody Told You About"</w:t>
            </w:r>
          </w:p>
        </w:tc>
      </w:tr>
      <w:tr>
        <w:tc>
          <w:tcPr>
            <w:tcW w:type="dxa" w:w="28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Counterintuitive claim</w:t>
            </w:r>
          </w:p>
        </w:tc>
        <w:tc>
          <w:tcPr>
            <w:tcW w:type="dxa" w:w="7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"Religion Makes You Happier. Here's Why That's Complicated."</w:t>
            </w:r>
          </w:p>
        </w:tc>
      </w:tr>
      <w:tr>
        <w:tc>
          <w:tcPr>
            <w:tcW w:type="dxa" w:w="28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Question as hook</w:t>
            </w:r>
          </w:p>
        </w:tc>
        <w:tc>
          <w:tcPr>
            <w:tcW w:type="dxa" w:w="7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"What Happens When 3 Billion People Go Online?"</w:t>
            </w:r>
          </w:p>
        </w:tc>
      </w:tr>
      <w:tr>
        <w:tc>
          <w:tcPr>
            <w:tcW w:type="dxa" w:w="28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The [Country]: [Literary subtitle]</w:t>
            </w:r>
          </w:p>
        </w:tc>
        <w:tc>
          <w:tcPr>
            <w:tcW w:type="dxa" w:w="7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"South Africa: Nelson Mandela's Biggest Mistake" (2and20 format)</w:t>
            </w:r>
          </w:p>
        </w:tc>
      </w:tr>
    </w:tbl>
    <w:p>
      <w:pPr>
        <w:spacing w:after="0" w:before="300"/>
      </w:pPr>
      <w:r>
        <w:rPr>
          <w:rFonts w:ascii="Arial" w:cs="Arial" w:eastAsia="Arial" w:hAnsi="Arial"/>
          <w:sz w:val="20"/>
          <w:szCs w:val="20"/>
        </w:rPr>
        <w:t xml:space="preserve"/>
      </w:r>
    </w:p>
    <w:p>
      <w:pPr>
        <w:pBdr>
          <w:left w:val="single" w:color="6B1F2A" w:sz="12" w:space="8"/>
        </w:pBdr>
        <w:spacing w:after="40" w:before="320"/>
        <w:ind w:left="160"/>
      </w:pPr>
      <w:r>
        <w:rPr>
          <w:rFonts w:ascii="Arial" w:cs="Arial" w:eastAsia="Arial" w:hAnsi="Arial"/>
          <w:b/>
          <w:bCs/>
          <w:color w:val="1A1A1A"/>
          <w:sz w:val="22"/>
          <w:szCs w:val="22"/>
        </w:rPr>
        <w:t xml:space="preserve">5. ON-SCREEN GRAPHICS &amp; LOWER THIRDS</w:t>
      </w:r>
    </w:p>
    <w:p>
      <w:pPr>
        <w:spacing w:after="120" w:before="0"/>
        <w:ind w:left="160"/>
      </w:pPr>
      <w:r>
        <w:rPr>
          <w:rFonts w:ascii="Arial" w:cs="Arial" w:eastAsia="Arial" w:hAnsi="Arial"/>
          <w:i/>
          <w:iCs/>
          <w:color w:val="888888"/>
          <w:sz w:val="18"/>
          <w:szCs w:val="18"/>
        </w:rPr>
        <w:t xml:space="preserve">Applies to any text or graphic element that appears during the video itself.</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Lower Third — Name</w:t>
            </w:r>
          </w:p>
        </w:tc>
        <w:tc>
          <w:tcPr>
            <w:tcW w:type="dxa" w:w="7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Parchment Cream background (#F5EFE6) with Burgundy left accent bar (4px). Name in Near Black Inter 700. Role in Muted Ash-Brown Inter 400.</w:t>
            </w:r>
          </w:p>
        </w:tc>
      </w:tr>
      <w:tr>
        <w:tc>
          <w:tcPr>
            <w:tcW w:type="dxa" w:w="28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Lower Third — Stat callout</w:t>
            </w:r>
          </w:p>
        </w:tc>
        <w:tc>
          <w:tcPr>
            <w:tcW w:type="dxa" w:w="7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Deep Emerald background (#1F6F54). Number in Antique Gold Inter 900. Label in Cream Inter 600 uppercase mono.</w:t>
            </w:r>
          </w:p>
        </w:tc>
      </w:tr>
      <w:tr>
        <w:tc>
          <w:tcPr>
            <w:tcW w:type="dxa" w:w="28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Pull quote box</w:t>
            </w:r>
          </w:p>
        </w:tc>
        <w:tc>
          <w:tcPr>
            <w:tcW w:type="dxa" w:w="7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Ivory surface (#EFE6DA). Left border 6px Antique Gold. Quote text in Near Black Inter 400 italic. Attribution in Burgundy caps.</w:t>
            </w:r>
          </w:p>
        </w:tc>
      </w:tr>
      <w:tr>
        <w:tc>
          <w:tcPr>
            <w:tcW w:type="dxa" w:w="28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Chapter title card</w:t>
            </w:r>
          </w:p>
        </w:tc>
        <w:tc>
          <w:tcPr>
            <w:tcW w:type="dxa" w:w="7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Full-frame: Near-black overlay on footage. Chapter number in Gold caps mono. Title in Cream Inter 700.</w:t>
            </w:r>
          </w:p>
        </w:tc>
      </w:tr>
      <w:tr>
        <w:tc>
          <w:tcPr>
            <w:tcW w:type="dxa" w:w="28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Data overlays</w:t>
            </w:r>
          </w:p>
        </w:tc>
        <w:tc>
          <w:tcPr>
            <w:tcW w:type="dxa" w:w="7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Emerald for positive/verified data. Burgundy for critical/contrarian claims. Gold for neutral/luxury context.</w:t>
            </w:r>
          </w:p>
        </w:tc>
      </w:tr>
      <w:tr>
        <w:tc>
          <w:tcPr>
            <w:tcW w:type="dxa" w:w="28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Map / diagram labels</w:t>
            </w:r>
          </w:p>
        </w:tc>
        <w:tc>
          <w:tcPr>
            <w:tcW w:type="dxa" w:w="7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Monospace font. Cream on dark overlays. Near Black on light graphics.</w:t>
            </w:r>
          </w:p>
        </w:tc>
      </w:tr>
      <w:tr>
        <w:tc>
          <w:tcPr>
            <w:tcW w:type="dxa" w:w="28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Source citations</w:t>
            </w:r>
          </w:p>
        </w:tc>
        <w:tc>
          <w:tcPr>
            <w:tcW w:type="dxa" w:w="7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Bottom-right corner. Subtle Taupe (#B8AEA1). Inter 400, small size. Never obstructs content.</w:t>
            </w:r>
          </w:p>
        </w:tc>
      </w:tr>
    </w:tbl>
    <w:p>
      <w:pPr>
        <w:spacing w:after="0" w:before="300"/>
      </w:pPr>
      <w:r>
        <w:rPr>
          <w:rFonts w:ascii="Arial" w:cs="Arial" w:eastAsia="Arial" w:hAnsi="Arial"/>
          <w:sz w:val="20"/>
          <w:szCs w:val="20"/>
        </w:rPr>
        <w:t xml:space="preserve"/>
      </w:r>
    </w:p>
    <w:p>
      <w:pPr>
        <w:pBdr>
          <w:left w:val="single" w:color="1F6F54" w:sz="12" w:space="8"/>
        </w:pBdr>
        <w:spacing w:after="40" w:before="320"/>
        <w:ind w:left="160"/>
      </w:pPr>
      <w:r>
        <w:rPr>
          <w:rFonts w:ascii="Arial" w:cs="Arial" w:eastAsia="Arial" w:hAnsi="Arial"/>
          <w:b/>
          <w:bCs/>
          <w:color w:val="1A1A1A"/>
          <w:sz w:val="22"/>
          <w:szCs w:val="22"/>
        </w:rPr>
        <w:t xml:space="preserve">6. EDITING STYLE &amp; PACING</w:t>
      </w:r>
    </w:p>
    <w:p>
      <w:pPr>
        <w:spacing w:after="120" w:before="0"/>
        <w:ind w:left="160"/>
      </w:pPr>
      <w:r>
        <w:rPr>
          <w:rFonts w:ascii="Arial" w:cs="Arial" w:eastAsia="Arial" w:hAnsi="Arial"/>
          <w:i/>
          <w:iCs/>
          <w:color w:val="888888"/>
          <w:sz w:val="18"/>
          <w:szCs w:val="18"/>
        </w:rPr>
        <w:t xml:space="preserve">The edit is part of the argument. These are the rules that govern how the video feels.</w:t>
      </w:r>
    </w:p>
    <w:p>
      <w:pPr>
        <w:spacing w:after="100" w:before="160"/>
      </w:pPr>
      <w:r>
        <w:rPr>
          <w:rFonts w:ascii="Arial" w:cs="Arial" w:eastAsia="Arial" w:hAnsi="Arial"/>
          <w:b/>
          <w:bCs/>
          <w:color w:val="1A1A1A"/>
          <w:sz w:val="21"/>
          <w:szCs w:val="21"/>
        </w:rPr>
        <w:t xml:space="preserve">6.1  Pacing Principles</w:t>
      </w:r>
    </w:p>
    <w:p>
      <w:pPr>
        <w:spacing w:after="60" w:before="280"/>
      </w:pPr>
      <w:r>
        <w:rPr>
          <w:rFonts w:ascii="Arial" w:cs="Arial" w:eastAsia="Arial" w:hAnsi="Arial"/>
          <w:b/>
          <w:bCs/>
          <w:color w:val="6B1F2A"/>
          <w:sz w:val="22"/>
          <w:szCs w:val="22"/>
        </w:rPr>
        <w:t xml:space="preserve">1.  </w:t>
      </w:r>
      <w:r>
        <w:rPr>
          <w:rFonts w:ascii="Arial" w:cs="Arial" w:eastAsia="Arial" w:hAnsi="Arial"/>
          <w:b/>
          <w:bCs/>
          <w:color w:val="1A1A1A"/>
          <w:sz w:val="22"/>
          <w:szCs w:val="22"/>
        </w:rPr>
        <w:t xml:space="preserve">Pattern interrupt every 90–120 seconds</w:t>
      </w:r>
    </w:p>
    <w:p>
      <w:pPr>
        <w:spacing w:after="0" w:before="0"/>
      </w:pPr>
      <w:r>
        <w:rPr>
          <w:rFonts w:ascii="Arial" w:cs="Arial" w:eastAsia="Arial" w:hAnsi="Arial"/>
          <w:color w:val="444444"/>
          <w:sz w:val="19"/>
          <w:szCs w:val="19"/>
        </w:rPr>
        <w:t xml:space="preserve">New visual, new named character, new timeline jump, or talking-head cut. The audience's attention resets. Never let one visual type run longer than 2 minutes without a break. (2and20 rule.)</w:t>
      </w:r>
    </w:p>
    <w:p>
      <w:pPr>
        <w:spacing w:after="60" w:before="280"/>
      </w:pPr>
      <w:r>
        <w:rPr>
          <w:rFonts w:ascii="Arial" w:cs="Arial" w:eastAsia="Arial" w:hAnsi="Arial"/>
          <w:b/>
          <w:bCs/>
          <w:color w:val="1F6F54"/>
          <w:sz w:val="22"/>
          <w:szCs w:val="22"/>
        </w:rPr>
        <w:t xml:space="preserve">2.  </w:t>
      </w:r>
      <w:r>
        <w:rPr>
          <w:rFonts w:ascii="Arial" w:cs="Arial" w:eastAsia="Arial" w:hAnsi="Arial"/>
          <w:b/>
          <w:bCs/>
          <w:color w:val="1A1A1A"/>
          <w:sz w:val="22"/>
          <w:szCs w:val="22"/>
        </w:rPr>
        <w:t xml:space="preserve">Visual leads, narration follows</w:t>
      </w:r>
    </w:p>
    <w:p>
      <w:pPr>
        <w:spacing w:after="0" w:before="0"/>
      </w:pPr>
      <w:r>
        <w:rPr>
          <w:rFonts w:ascii="Arial" w:cs="Arial" w:eastAsia="Arial" w:hAnsi="Arial"/>
          <w:color w:val="444444"/>
          <w:sz w:val="19"/>
          <w:szCs w:val="19"/>
        </w:rPr>
        <w:t xml:space="preserve">Cut to the visual BEFORE the narration references it. Never leave the audience hearing about something they haven't seen yet. The eye precedes the ear.</w:t>
      </w:r>
    </w:p>
    <w:p>
      <w:pPr>
        <w:spacing w:after="60" w:before="280"/>
      </w:pPr>
      <w:r>
        <w:rPr>
          <w:rFonts w:ascii="Arial" w:cs="Arial" w:eastAsia="Arial" w:hAnsi="Arial"/>
          <w:b/>
          <w:bCs/>
          <w:color w:val="C6A15B"/>
          <w:sz w:val="22"/>
          <w:szCs w:val="22"/>
        </w:rPr>
        <w:t xml:space="preserve">3.  </w:t>
      </w:r>
      <w:r>
        <w:rPr>
          <w:rFonts w:ascii="Arial" w:cs="Arial" w:eastAsia="Arial" w:hAnsi="Arial"/>
          <w:b/>
          <w:bCs/>
          <w:color w:val="1A1A1A"/>
          <w:sz w:val="22"/>
          <w:szCs w:val="22"/>
        </w:rPr>
        <w:t xml:space="preserve">Let data breathe</w:t>
      </w:r>
    </w:p>
    <w:p>
      <w:pPr>
        <w:spacing w:after="0" w:before="0"/>
      </w:pPr>
      <w:r>
        <w:rPr>
          <w:rFonts w:ascii="Arial" w:cs="Arial" w:eastAsia="Arial" w:hAnsi="Arial"/>
          <w:color w:val="444444"/>
          <w:sz w:val="19"/>
          <w:szCs w:val="19"/>
        </w:rPr>
        <w:t xml:space="preserve">When a key statistic or chart appears, hold it for at least 3–5 seconds before moving on. Viewers need time to read and absorb. Resist the urge to cut quickly on data moments.</w:t>
      </w:r>
    </w:p>
    <w:p>
      <w:pPr>
        <w:spacing w:after="60" w:before="280"/>
      </w:pPr>
      <w:r>
        <w:rPr>
          <w:rFonts w:ascii="Arial" w:cs="Arial" w:eastAsia="Arial" w:hAnsi="Arial"/>
          <w:b/>
          <w:bCs/>
          <w:color w:val="6B1F2A"/>
          <w:sz w:val="22"/>
          <w:szCs w:val="22"/>
        </w:rPr>
        <w:t xml:space="preserve">4.  </w:t>
      </w:r>
      <w:r>
        <w:rPr>
          <w:rFonts w:ascii="Arial" w:cs="Arial" w:eastAsia="Arial" w:hAnsi="Arial"/>
          <w:b/>
          <w:bCs/>
          <w:color w:val="1A1A1A"/>
          <w:sz w:val="22"/>
          <w:szCs w:val="22"/>
        </w:rPr>
        <w:t xml:space="preserve">Silence is a tool</w:t>
      </w:r>
    </w:p>
    <w:p>
      <w:pPr>
        <w:spacing w:after="0" w:before="0"/>
      </w:pPr>
      <w:r>
        <w:rPr>
          <w:rFonts w:ascii="Arial" w:cs="Arial" w:eastAsia="Arial" w:hAnsi="Arial"/>
          <w:color w:val="444444"/>
          <w:sz w:val="19"/>
          <w:szCs w:val="19"/>
        </w:rPr>
        <w:t xml:space="preserve">A 1–2 second pause before a major reveal or after a key quote is more powerful than music. Do not score over every moment. Let the weight land.</w:t>
      </w:r>
    </w:p>
    <w:p>
      <w:pPr>
        <w:spacing w:after="60" w:before="280"/>
      </w:pPr>
      <w:r>
        <w:rPr>
          <w:rFonts w:ascii="Arial" w:cs="Arial" w:eastAsia="Arial" w:hAnsi="Arial"/>
          <w:b/>
          <w:bCs/>
          <w:color w:val="1F6F54"/>
          <w:sz w:val="22"/>
          <w:szCs w:val="22"/>
        </w:rPr>
        <w:t xml:space="preserve">5.  </w:t>
      </w:r>
      <w:r>
        <w:rPr>
          <w:rFonts w:ascii="Arial" w:cs="Arial" w:eastAsia="Arial" w:hAnsi="Arial"/>
          <w:b/>
          <w:bCs/>
          <w:color w:val="1A1A1A"/>
          <w:sz w:val="22"/>
          <w:szCs w:val="22"/>
        </w:rPr>
        <w:t xml:space="preserve">Cold open energy — hard in, no preamble</w:t>
      </w:r>
    </w:p>
    <w:p>
      <w:pPr>
        <w:spacing w:after="0" w:before="0"/>
      </w:pPr>
      <w:r>
        <w:rPr>
          <w:rFonts w:ascii="Arial" w:cs="Arial" w:eastAsia="Arial" w:hAnsi="Arial"/>
          <w:color w:val="444444"/>
          <w:sz w:val="19"/>
          <w:szCs w:val="19"/>
        </w:rPr>
        <w:t xml:space="preserve">No "in today's video we'll be discussing." Cut straight to the date, the place, the event. Journalism, not YouTube vlog.</w:t>
      </w:r>
    </w:p>
    <w:p>
      <w:pPr>
        <w:spacing w:after="0" w:before="200"/>
      </w:pPr>
      <w:r>
        <w:rPr>
          <w:rFonts w:ascii="Arial" w:cs="Arial" w:eastAsia="Arial" w:hAnsi="Arial"/>
          <w:sz w:val="20"/>
          <w:szCs w:val="20"/>
        </w:rPr>
        <w:t xml:space="preserve"/>
      </w:r>
    </w:p>
    <w:p>
      <w:pPr>
        <w:spacing w:after="100" w:before="200"/>
      </w:pPr>
      <w:r>
        <w:rPr>
          <w:rFonts w:ascii="Arial" w:cs="Arial" w:eastAsia="Arial" w:hAnsi="Arial"/>
          <w:b/>
          <w:bCs/>
          <w:color w:val="1A1A1A"/>
          <w:sz w:val="21"/>
          <w:szCs w:val="21"/>
        </w:rPr>
        <w:t xml:space="preserve">6.2  Cut Types &amp; When To Use Them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CCCCCC" w:sz="1"/>
              <w:left w:val="single" w:color="CCCCCC" w:sz="1"/>
              <w:bottom w:val="single" w:color="CCCCCC" w:sz="1"/>
              <w:right w:val="single" w:color="CCCCCC" w:sz="1"/>
            </w:tcBorders>
            <w:shd w:fill="6B1F2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CUT TYPE</w:t>
            </w:r>
          </w:p>
        </w:tc>
        <w:tc>
          <w:tcPr>
            <w:tcW w:type="dxa" w:w="7880"/>
            <w:tcBorders>
              <w:top w:val="single" w:color="CCCCCC" w:sz="1"/>
              <w:left w:val="single" w:color="CCCCCC" w:sz="1"/>
              <w:bottom w:val="single" w:color="CCCCCC" w:sz="1"/>
              <w:right w:val="single" w:color="CCCCCC" w:sz="1"/>
            </w:tcBorders>
            <w:shd w:fill="6B1F2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WHEN TO USE</w:t>
            </w:r>
          </w:p>
        </w:tc>
      </w:tr>
      <w:tr>
        <w:tc>
          <w:tcPr>
            <w:tcW w:type="dxa" w:w="22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Hard cut</w:t>
            </w:r>
          </w:p>
        </w:tc>
        <w:tc>
          <w:tcPr>
            <w:tcW w:type="dxa" w:w="78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Default. Narrative momentum, fact delivery, timeline jumps.</w:t>
            </w:r>
          </w:p>
        </w:tc>
      </w:tr>
      <w:tr>
        <w:tc>
          <w:tcPr>
            <w:tcW w:type="dxa" w:w="22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J-cut (audio leads)</w:t>
            </w:r>
          </w:p>
        </w:tc>
        <w:tc>
          <w:tcPr>
            <w:tcW w:type="dxa" w:w="78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Transitioning into a new scene or interview. Audio from next scene begins while previous visual is still present. Creates pull.</w:t>
            </w:r>
          </w:p>
        </w:tc>
      </w:tr>
      <w:tr>
        <w:tc>
          <w:tcPr>
            <w:tcW w:type="dxa" w:w="22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L-cut (visual leads)</w:t>
            </w:r>
          </w:p>
        </w:tc>
        <w:tc>
          <w:tcPr>
            <w:tcW w:type="dxa" w:w="78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Staying on reaction or visual while previous audio finishes. Useful after emotional or key data moments.</w:t>
            </w:r>
          </w:p>
        </w:tc>
      </w:tr>
      <w:tr>
        <w:tc>
          <w:tcPr>
            <w:tcW w:type="dxa" w:w="22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Match cut</w:t>
            </w:r>
          </w:p>
        </w:tc>
        <w:tc>
          <w:tcPr>
            <w:tcW w:type="dxa" w:w="78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Thematic link between two visuals. Use deliberately — not decoratively.</w:t>
            </w:r>
          </w:p>
        </w:tc>
      </w:tr>
      <w:tr>
        <w:tc>
          <w:tcPr>
            <w:tcW w:type="dxa" w:w="22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Jump cut (TH)</w:t>
            </w:r>
          </w:p>
        </w:tc>
        <w:tc>
          <w:tcPr>
            <w:tcW w:type="dxa" w:w="78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Talking head. Acceptable for pacing — remove hesitations, clean up delivery. Keep natural rhythm.</w:t>
            </w:r>
          </w:p>
        </w:tc>
      </w:tr>
      <w:tr>
        <w:tc>
          <w:tcPr>
            <w:tcW w:type="dxa" w:w="22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Slow dissolve</w:t>
            </w:r>
          </w:p>
        </w:tc>
        <w:tc>
          <w:tcPr>
            <w:tcW w:type="dxa" w:w="78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Only for major structural transitions: act breaks, time passage, literary close. Not mid-sequence.</w:t>
            </w:r>
          </w:p>
        </w:tc>
      </w:tr>
      <w:tr>
        <w:tc>
          <w:tcPr>
            <w:tcW w:type="dxa" w:w="22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Smash cut</w:t>
            </w:r>
          </w:p>
        </w:tc>
        <w:tc>
          <w:tcPr>
            <w:tcW w:type="dxa" w:w="78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Into cold open. Into a counterintuitive reveal. High impact — use max 2x per video.</w:t>
            </w:r>
          </w:p>
        </w:tc>
      </w:tr>
    </w:tbl>
    <w:p>
      <w:pPr>
        <w:spacing w:after="0" w:before="300"/>
      </w:pPr>
      <w:r>
        <w:rPr>
          <w:rFonts w:ascii="Arial" w:cs="Arial" w:eastAsia="Arial" w:hAnsi="Arial"/>
          <w:sz w:val="20"/>
          <w:szCs w:val="20"/>
        </w:rPr>
        <w:t xml:space="preserve"/>
      </w:r>
    </w:p>
    <w:p>
      <w:pPr>
        <w:spacing w:after="100" w:before="200"/>
      </w:pPr>
      <w:r>
        <w:rPr>
          <w:rFonts w:ascii="Arial" w:cs="Arial" w:eastAsia="Arial" w:hAnsi="Arial"/>
          <w:b/>
          <w:bCs/>
          <w:color w:val="1A1A1A"/>
          <w:sz w:val="21"/>
          <w:szCs w:val="21"/>
        </w:rPr>
        <w:t xml:space="preserve">6.3  Music &amp; Sound Design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Tone</w:t>
            </w:r>
          </w:p>
        </w:tc>
        <w:tc>
          <w:tcPr>
            <w:tcW w:type="dxa" w:w="7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Cinematic and understated. The music supports the argument — it does not substitute for it. Reference: documentary score, not YouTube hype.</w:t>
            </w:r>
          </w:p>
        </w:tc>
      </w:tr>
      <w:tr>
        <w:tc>
          <w:tcPr>
            <w:tcW w:type="dxa" w:w="28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Cold open</w:t>
            </w:r>
          </w:p>
        </w:tc>
        <w:tc>
          <w:tcPr>
            <w:tcW w:type="dxa" w:w="7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Minimal or no music. Ambient sound or silence. Let the moment land before music enters.</w:t>
            </w:r>
          </w:p>
        </w:tc>
      </w:tr>
      <w:tr>
        <w:tc>
          <w:tcPr>
            <w:tcW w:type="dxa" w:w="28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History lesson / mechanism</w:t>
            </w:r>
          </w:p>
        </w:tc>
        <w:tc>
          <w:tcPr>
            <w:tcW w:type="dxa" w:w="7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Understated tension build. Subtle low-frequency pulse or sparse piano. Never triumphant or celebratory.</w:t>
            </w:r>
          </w:p>
        </w:tc>
      </w:tr>
      <w:tr>
        <w:tc>
          <w:tcPr>
            <w:tcW w:type="dxa" w:w="28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Data / chart moments</w:t>
            </w:r>
          </w:p>
        </w:tc>
        <w:tc>
          <w:tcPr>
            <w:tcW w:type="dxa" w:w="7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Consider silence or near-silence. Let the number carry the weight.</w:t>
            </w:r>
          </w:p>
        </w:tc>
      </w:tr>
      <w:tr>
        <w:tc>
          <w:tcPr>
            <w:tcW w:type="dxa" w:w="28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Literary close</w:t>
            </w:r>
          </w:p>
        </w:tc>
        <w:tc>
          <w:tcPr>
            <w:tcW w:type="dxa" w:w="7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Score builds under the final 90 seconds. Emotional but not sentimental. Release tension — do not resolve it.</w:t>
            </w:r>
          </w:p>
        </w:tc>
      </w:tr>
      <w:tr>
        <w:tc>
          <w:tcPr>
            <w:tcW w:type="dxa" w:w="28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Primary source quotes</w:t>
            </w:r>
          </w:p>
        </w:tc>
        <w:tc>
          <w:tcPr>
            <w:tcW w:type="dxa" w:w="7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Music fades under the quote. The quote speaks alone. Returns as quote ends.</w:t>
            </w:r>
          </w:p>
        </w:tc>
      </w:tr>
      <w:tr>
        <w:tc>
          <w:tcPr>
            <w:tcW w:type="dxa" w:w="28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SFX</w:t>
            </w:r>
          </w:p>
        </w:tc>
        <w:tc>
          <w:tcPr>
            <w:tcW w:type="dxa" w:w="7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Subtle. Timeline transitions, map animations, data appearing. Never cartoonish. Restrained.</w:t>
            </w:r>
          </w:p>
        </w:tc>
      </w:tr>
      <w:tr>
        <w:tc>
          <w:tcPr>
            <w:tcW w:type="dxa" w:w="28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Ducking</w:t>
            </w:r>
          </w:p>
        </w:tc>
        <w:tc>
          <w:tcPr>
            <w:tcW w:type="dxa" w:w="7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Music always ducks under voiceover and interview audio. -20dB floor when VO is present.</w:t>
            </w:r>
          </w:p>
        </w:tc>
      </w:tr>
    </w:tbl>
    <w:p>
      <w:pPr>
        <w:spacing w:after="0" w:before="300"/>
      </w:pPr>
      <w:r>
        <w:rPr>
          <w:rFonts w:ascii="Arial" w:cs="Arial" w:eastAsia="Arial" w:hAnsi="Arial"/>
          <w:sz w:val="20"/>
          <w:szCs w:val="20"/>
        </w:rPr>
        <w:t xml:space="preserve"/>
      </w:r>
    </w:p>
    <w:p>
      <w:pPr>
        <w:spacing w:after="100" w:before="200"/>
      </w:pPr>
      <w:r>
        <w:rPr>
          <w:rFonts w:ascii="Arial" w:cs="Arial" w:eastAsia="Arial" w:hAnsi="Arial"/>
          <w:b/>
          <w:bCs/>
          <w:color w:val="1A1A1A"/>
          <w:sz w:val="21"/>
          <w:szCs w:val="21"/>
        </w:rPr>
        <w:t xml:space="preserve">6.4  Colour Grade &amp; Visual Treatment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Overall feel</w:t>
            </w:r>
          </w:p>
        </w:tc>
        <w:tc>
          <w:tcPr>
            <w:tcW w:type="dxa" w:w="7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Warm, filmic, authoritative. Not clinical or over-processed. Skin tones preserved. Push shadows slightly warm.</w:t>
            </w:r>
          </w:p>
        </w:tc>
      </w:tr>
      <w:tr>
        <w:tc>
          <w:tcPr>
            <w:tcW w:type="dxa" w:w="28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Shadows</w:t>
            </w:r>
          </w:p>
        </w:tc>
        <w:tc>
          <w:tcPr>
            <w:tcW w:type="dxa" w:w="7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Slight lift — never crushed to pure black. Warm brown/amber in shadows.</w:t>
            </w:r>
          </w:p>
        </w:tc>
      </w:tr>
      <w:tr>
        <w:tc>
          <w:tcPr>
            <w:tcW w:type="dxa" w:w="28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Highlights</w:t>
            </w:r>
          </w:p>
        </w:tc>
        <w:tc>
          <w:tcPr>
            <w:tcW w:type="dxa" w:w="7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Keep luminance under 90 IRE. Slight cream/ivory cast on highlights.</w:t>
            </w:r>
          </w:p>
        </w:tc>
      </w:tr>
      <w:tr>
        <w:tc>
          <w:tcPr>
            <w:tcW w:type="dxa" w:w="28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Saturation</w:t>
            </w:r>
          </w:p>
        </w:tc>
        <w:tc>
          <w:tcPr>
            <w:tcW w:type="dxa" w:w="7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Slightly desaturated overall, with selective saturation boosts on Burgundy, Emerald, and Gold elements.</w:t>
            </w:r>
          </w:p>
        </w:tc>
      </w:tr>
      <w:tr>
        <w:tc>
          <w:tcPr>
            <w:tcW w:type="dxa" w:w="28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Skin tones</w:t>
            </w:r>
          </w:p>
        </w:tc>
        <w:tc>
          <w:tcPr>
            <w:tcW w:type="dxa" w:w="7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Priority. Never sacrifice skin tones for an aesthetic choice.</w:t>
            </w:r>
          </w:p>
        </w:tc>
      </w:tr>
      <w:tr>
        <w:tc>
          <w:tcPr>
            <w:tcW w:type="dxa" w:w="28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B-roll vs TH</w:t>
            </w:r>
          </w:p>
        </w:tc>
        <w:tc>
          <w:tcPr>
            <w:tcW w:type="dxa" w:w="7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TH (talking head) slightly warmer and higher contrast for authority. B-roll slightly cooler and more cinematic.</w:t>
            </w:r>
          </w:p>
        </w:tc>
      </w:tr>
      <w:tr>
        <w:tc>
          <w:tcPr>
            <w:tcW w:type="dxa" w:w="28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Archive footage</w:t>
            </w:r>
          </w:p>
        </w:tc>
        <w:tc>
          <w:tcPr>
            <w:tcW w:type="dxa" w:w="7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Add a slight sepia/grain treatment to visually separate historical material from present-day footage.</w:t>
            </w:r>
          </w:p>
        </w:tc>
      </w:tr>
      <w:tr>
        <w:tc>
          <w:tcPr>
            <w:tcW w:type="dxa" w:w="28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Motion graphics</w:t>
            </w:r>
          </w:p>
        </w:tc>
        <w:tc>
          <w:tcPr>
            <w:tcW w:type="dxa" w:w="7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Always match the warm colour grade. No cold blue/white elements in graphics unless contextually necessary.</w:t>
            </w:r>
          </w:p>
        </w:tc>
      </w:tr>
    </w:tbl>
    <w:p>
      <w:pPr>
        <w:spacing w:after="0" w:before="300"/>
      </w:pPr>
      <w:r>
        <w:rPr>
          <w:rFonts w:ascii="Arial" w:cs="Arial" w:eastAsia="Arial" w:hAnsi="Arial"/>
          <w:sz w:val="20"/>
          <w:szCs w:val="20"/>
        </w:rPr>
        <w:t xml:space="preserve"/>
      </w:r>
    </w:p>
    <w:p>
      <w:pPr>
        <w:pBdr>
          <w:left w:val="single" w:color="C6A15B" w:sz="12" w:space="8"/>
        </w:pBdr>
        <w:spacing w:after="40" w:before="320"/>
        <w:ind w:left="160"/>
      </w:pPr>
      <w:r>
        <w:rPr>
          <w:rFonts w:ascii="Arial" w:cs="Arial" w:eastAsia="Arial" w:hAnsi="Arial"/>
          <w:b/>
          <w:bCs/>
          <w:color w:val="1A1A1A"/>
          <w:sz w:val="22"/>
          <w:szCs w:val="22"/>
        </w:rPr>
        <w:t xml:space="preserve">7. MOTION &amp; ANIMATION PRINCIPLES</w:t>
      </w:r>
    </w:p>
    <w:p>
      <w:pPr>
        <w:spacing w:after="120" w:before="0"/>
        <w:ind w:left="160"/>
      </w:pPr>
      <w:r>
        <w:rPr>
          <w:rFonts w:ascii="Arial" w:cs="Arial" w:eastAsia="Arial" w:hAnsi="Arial"/>
          <w:i/>
          <w:iCs/>
          <w:color w:val="888888"/>
          <w:sz w:val="18"/>
          <w:szCs w:val="18"/>
        </w:rPr>
        <w:t xml:space="preserve">Applies to all motion graphics, lower thirds, title cards, and transitions.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Default easing</w:t>
            </w:r>
          </w:p>
        </w:tc>
        <w:tc>
          <w:tcPr>
            <w:tcW w:type="dxa" w:w="7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cubic-bezier(0.4, 0, 0.2, 1) — smooth deceleration. Standard transitions 250ms.</w:t>
            </w:r>
          </w:p>
        </w:tc>
      </w:tr>
      <w:tr>
        <w:tc>
          <w:tcPr>
            <w:tcW w:type="dxa" w:w="28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Entry animations</w:t>
            </w:r>
          </w:p>
        </w:tc>
        <w:tc>
          <w:tcPr>
            <w:tcW w:type="dxa" w:w="7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cubic-bezier(0.34, 1.56, 0.64, 1) — slight overshoot/spring. For badge pops, title reveals, stat callouts.</w:t>
            </w:r>
          </w:p>
        </w:tc>
      </w:tr>
      <w:tr>
        <w:tc>
          <w:tcPr>
            <w:tcW w:type="dxa" w:w="28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Reveals</w:t>
            </w:r>
          </w:p>
        </w:tc>
        <w:tc>
          <w:tcPr>
            <w:tcW w:type="dxa" w:w="7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Fade up from translateY(+20px), opacity 0→1, 800ms expo-out. Always decelerate into position.</w:t>
            </w:r>
          </w:p>
        </w:tc>
      </w:tr>
      <w:tr>
        <w:tc>
          <w:tcPr>
            <w:tcW w:type="dxa" w:w="28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Data / chart builds</w:t>
            </w:r>
          </w:p>
        </w:tc>
        <w:tc>
          <w:tcPr>
            <w:tcW w:type="dxa" w:w="7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Grow from 0 values with staggered delay between data points. 60–100ms stagger per element.</w:t>
            </w:r>
          </w:p>
        </w:tc>
      </w:tr>
      <w:tr>
        <w:tc>
          <w:tcPr>
            <w:tcW w:type="dxa" w:w="28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Float animations</w:t>
            </w:r>
          </w:p>
        </w:tc>
        <w:tc>
          <w:tcPr>
            <w:tcW w:type="dxa" w:w="7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Key graphics gently float 0→8px Y over 4–6s ease-in-out infinite. Used sparingly — one element per frame.</w:t>
            </w:r>
          </w:p>
        </w:tc>
      </w:tr>
      <w:tr>
        <w:tc>
          <w:tcPr>
            <w:tcW w:type="dxa" w:w="28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Holds</w:t>
            </w:r>
          </w:p>
        </w:tc>
        <w:tc>
          <w:tcPr>
            <w:tcW w:type="dxa" w:w="7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After entry, graphic holds stationary with subtle ambient movement (float). Never completely static for more than 5 seconds.</w:t>
            </w:r>
          </w:p>
        </w:tc>
      </w:tr>
      <w:tr>
        <w:tc>
          <w:tcPr>
            <w:tcW w:type="dxa" w:w="28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Exit</w:t>
            </w:r>
          </w:p>
        </w:tc>
        <w:tc>
          <w:tcPr>
            <w:tcW w:type="dxa" w:w="7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Fade out + slight scale down (1→0.97). 300ms. Clean — not distracting.</w:t>
            </w:r>
          </w:p>
        </w:tc>
      </w:tr>
      <w:tr>
        <w:tc>
          <w:tcPr>
            <w:tcW w:type="dxa" w:w="28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Rule</w:t>
            </w:r>
          </w:p>
        </w:tc>
        <w:tc>
          <w:tcPr>
            <w:tcW w:type="dxa" w:w="7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Every animation must serve the story. If removing the animation doesn't hurt comprehension, remove it.</w:t>
            </w:r>
          </w:p>
        </w:tc>
      </w:tr>
    </w:tbl>
    <w:p>
      <w:pPr>
        <w:spacing w:after="0" w:before="300"/>
      </w:pPr>
      <w:r>
        <w:rPr>
          <w:rFonts w:ascii="Arial" w:cs="Arial" w:eastAsia="Arial" w:hAnsi="Arial"/>
          <w:sz w:val="20"/>
          <w:szCs w:val="20"/>
        </w:rPr>
        <w:t xml:space="preserve"/>
      </w:r>
    </w:p>
    <w:p>
      <w:pPr>
        <w:pBdr>
          <w:left w:val="single" w:color="6B1F2A" w:sz="12" w:space="8"/>
        </w:pBdr>
        <w:spacing w:after="40" w:before="320"/>
        <w:ind w:left="160"/>
      </w:pPr>
      <w:r>
        <w:rPr>
          <w:rFonts w:ascii="Arial" w:cs="Arial" w:eastAsia="Arial" w:hAnsi="Arial"/>
          <w:b/>
          <w:bCs/>
          <w:color w:val="1A1A1A"/>
          <w:sz w:val="22"/>
          <w:szCs w:val="22"/>
        </w:rPr>
        <w:t xml:space="preserve">8. VIDEO STRUCTURE REFERENCE</w:t>
      </w:r>
    </w:p>
    <w:p>
      <w:pPr>
        <w:spacing w:after="120" w:before="0"/>
        <w:ind w:left="160"/>
      </w:pPr>
      <w:r>
        <w:rPr>
          <w:rFonts w:ascii="Arial" w:cs="Arial" w:eastAsia="Arial" w:hAnsi="Arial"/>
          <w:i/>
          <w:iCs/>
          <w:color w:val="888888"/>
          <w:sz w:val="18"/>
          <w:szCs w:val="18"/>
        </w:rPr>
        <w:t xml:space="preserve">Quick-reference card for the 2and20-derived 7-act structure used across all long-form videos.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1800"/>
        <w:gridCol w:w="5780"/>
      </w:tblGrid>
      <w:tr>
        <w:tc>
          <w:tcPr>
            <w:tcW w:type="dxa" w:w="500"/>
            <w:tcBorders>
              <w:top w:val="single" w:color="CCCCCC" w:sz="1"/>
              <w:left w:val="single" w:color="CCCCCC" w:sz="1"/>
              <w:bottom w:val="single" w:color="CCCCCC" w:sz="1"/>
              <w:right w:val="single" w:color="CCCCCC" w:sz="1"/>
            </w:tcBorders>
            <w:shd w:fill="6B1F2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ACT</w:t>
            </w:r>
          </w:p>
        </w:tc>
        <w:tc>
          <w:tcPr>
            <w:tcW w:type="dxa" w:w="2000"/>
            <w:tcBorders>
              <w:top w:val="single" w:color="CCCCCC" w:sz="1"/>
              <w:left w:val="single" w:color="CCCCCC" w:sz="1"/>
              <w:bottom w:val="single" w:color="CCCCCC" w:sz="1"/>
              <w:right w:val="single" w:color="CCCCCC" w:sz="1"/>
            </w:tcBorders>
            <w:shd w:fill="6B1F2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NAME</w:t>
            </w:r>
          </w:p>
        </w:tc>
        <w:tc>
          <w:tcPr>
            <w:tcW w:type="dxa" w:w="1800"/>
            <w:tcBorders>
              <w:top w:val="single" w:color="CCCCCC" w:sz="1"/>
              <w:left w:val="single" w:color="CCCCCC" w:sz="1"/>
              <w:bottom w:val="single" w:color="CCCCCC" w:sz="1"/>
              <w:right w:val="single" w:color="CCCCCC" w:sz="1"/>
            </w:tcBorders>
            <w:shd w:fill="6B1F2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DURATION</w:t>
            </w:r>
          </w:p>
        </w:tc>
        <w:tc>
          <w:tcPr>
            <w:tcW w:type="dxa" w:w="5780"/>
            <w:tcBorders>
              <w:top w:val="single" w:color="CCCCCC" w:sz="1"/>
              <w:left w:val="single" w:color="CCCCCC" w:sz="1"/>
              <w:bottom w:val="single" w:color="CCCCCC" w:sz="1"/>
              <w:right w:val="single" w:color="CCCCCC" w:sz="1"/>
            </w:tcBorders>
            <w:shd w:fill="6B1F2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EDITORIAL RULE</w:t>
            </w:r>
          </w:p>
        </w:tc>
      </w:tr>
      <w:tr>
        <w:tc>
          <w:tcPr>
            <w:tcW w:type="dxa" w:w="500"/>
            <w:tcBorders>
              <w:top w:val="single" w:color="CCCCCC" w:sz="1"/>
              <w:left w:val="single" w:color="CCCCCC" w:sz="1"/>
              <w:bottom w:val="single" w:color="CCCCCC" w:sz="1"/>
              <w:right w:val="single" w:color="CCCCCC" w:sz="1"/>
            </w:tcBorders>
            <w:shd w:fill="6B1F2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1</w:t>
            </w:r>
          </w:p>
        </w:tc>
        <w:tc>
          <w:tcPr>
            <w:tcW w:type="dxa" w:w="20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Cold Open</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0:00–1:00</w:t>
            </w:r>
          </w:p>
        </w:tc>
        <w:tc>
          <w:tcPr>
            <w:tcW w:type="dxa" w:w="57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Date + place + person. Hard journalism. No thesis. Sets contradiction.</w:t>
            </w:r>
          </w:p>
        </w:tc>
      </w:tr>
      <w:tr>
        <w:tc>
          <w:tcPr>
            <w:tcW w:type="dxa" w:w="500"/>
            <w:tcBorders>
              <w:top w:val="single" w:color="CCCCCC" w:sz="1"/>
              <w:left w:val="single" w:color="CCCCCC" w:sz="1"/>
              <w:bottom w:val="single" w:color="CCCCCC" w:sz="1"/>
              <w:right w:val="single" w:color="CCCCCC" w:sz="1"/>
            </w:tcBorders>
            <w:shd w:fill="6B1F2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2</w:t>
            </w:r>
          </w:p>
        </w:tc>
        <w:tc>
          <w:tcPr>
            <w:tcW w:type="dxa" w:w="20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"But…" Flip</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~0:45–1:30</w:t>
            </w:r>
          </w:p>
        </w:tc>
        <w:tc>
          <w:tcPr>
            <w:tcW w:type="dxa" w:w="57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Immediate undercut. Most important word: "But."</w:t>
            </w:r>
          </w:p>
        </w:tc>
      </w:tr>
      <w:tr>
        <w:tc>
          <w:tcPr>
            <w:tcW w:type="dxa" w:w="500"/>
            <w:tcBorders>
              <w:top w:val="single" w:color="CCCCCC" w:sz="1"/>
              <w:left w:val="single" w:color="CCCCCC" w:sz="1"/>
              <w:bottom w:val="single" w:color="CCCCCC" w:sz="1"/>
              <w:right w:val="single" w:color="CCCCCC" w:sz="1"/>
            </w:tcBorders>
            <w:shd w:fill="6B1F2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3</w:t>
            </w:r>
          </w:p>
        </w:tc>
        <w:tc>
          <w:tcPr>
            <w:tcW w:type="dxa" w:w="20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Title Card Reveal</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~1:00–2:00</w:t>
            </w:r>
          </w:p>
        </w:tc>
        <w:tc>
          <w:tcPr>
            <w:tcW w:type="dxa" w:w="57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Spoken like documentary subtitle. Cinematic hold.</w:t>
            </w:r>
          </w:p>
        </w:tc>
      </w:tr>
      <w:tr>
        <w:tc>
          <w:tcPr>
            <w:tcW w:type="dxa" w:w="500"/>
            <w:tcBorders>
              <w:top w:val="single" w:color="CCCCCC" w:sz="1"/>
              <w:left w:val="single" w:color="CCCCCC" w:sz="1"/>
              <w:bottom w:val="single" w:color="CCCCCC" w:sz="1"/>
              <w:right w:val="single" w:color="CCCCCC" w:sz="1"/>
            </w:tcBorders>
            <w:shd w:fill="6B1F2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4</w:t>
            </w:r>
          </w:p>
        </w:tc>
        <w:tc>
          <w:tcPr>
            <w:tcW w:type="dxa" w:w="20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History Lesson</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~2:00–10:00</w:t>
            </w:r>
          </w:p>
        </w:tc>
        <w:tc>
          <w:tcPr>
            <w:tcW w:type="dxa" w:w="57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Named actors. Hard numbers. 2–4 sub-chapters. Mechanism, not moralising.</w:t>
            </w:r>
          </w:p>
        </w:tc>
      </w:tr>
      <w:tr>
        <w:tc>
          <w:tcPr>
            <w:tcW w:type="dxa" w:w="500"/>
            <w:tcBorders>
              <w:top w:val="single" w:color="CCCCCC" w:sz="1"/>
              <w:left w:val="single" w:color="CCCCCC" w:sz="1"/>
              <w:bottom w:val="single" w:color="CCCCCC" w:sz="1"/>
              <w:right w:val="single" w:color="CCCCCC" w:sz="1"/>
            </w:tcBorders>
            <w:shd w:fill="6B1F2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5</w:t>
            </w:r>
          </w:p>
        </w:tc>
        <w:tc>
          <w:tcPr>
            <w:tcW w:type="dxa" w:w="20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Sponsor</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~5:00–7:00</w:t>
            </w:r>
          </w:p>
        </w:tc>
        <w:tc>
          <w:tcPr>
            <w:tcW w:type="dxa" w:w="57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Thematically bridged. Never random.</w:t>
            </w:r>
          </w:p>
        </w:tc>
      </w:tr>
      <w:tr>
        <w:tc>
          <w:tcPr>
            <w:tcW w:type="dxa" w:w="500"/>
            <w:tcBorders>
              <w:top w:val="single" w:color="CCCCCC" w:sz="1"/>
              <w:left w:val="single" w:color="CCCCCC" w:sz="1"/>
              <w:bottom w:val="single" w:color="CCCCCC" w:sz="1"/>
              <w:right w:val="single" w:color="CCCCCC" w:sz="1"/>
            </w:tcBorders>
            <w:shd w:fill="6B1F2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6</w:t>
            </w:r>
          </w:p>
        </w:tc>
        <w:tc>
          <w:tcPr>
            <w:tcW w:type="dxa" w:w="20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Mid Subscribe Nudge</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1 beat mid-video</w:t>
            </w:r>
          </w:p>
        </w:tc>
        <w:tc>
          <w:tcPr>
            <w:tcW w:type="dxa" w:w="57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8–10 seconds. Casual. Before a key reveal.</w:t>
            </w:r>
          </w:p>
        </w:tc>
      </w:tr>
      <w:tr>
        <w:tc>
          <w:tcPr>
            <w:tcW w:type="dxa" w:w="500"/>
            <w:tcBorders>
              <w:top w:val="single" w:color="CCCCCC" w:sz="1"/>
              <w:left w:val="single" w:color="CCCCCC" w:sz="1"/>
              <w:bottom w:val="single" w:color="CCCCCC" w:sz="1"/>
              <w:right w:val="single" w:color="CCCCCC" w:sz="1"/>
            </w:tcBorders>
            <w:shd w:fill="6B1F2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7</w:t>
            </w:r>
          </w:p>
        </w:tc>
        <w:tc>
          <w:tcPr>
            <w:tcW w:type="dxa" w:w="20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Literary Close + Quote</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Final 90 sec</w:t>
            </w:r>
          </w:p>
        </w:tc>
        <w:tc>
          <w:tcPr>
            <w:tcW w:type="dxa" w:w="57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Escalate — do not summarise. Primary source quote. Hold on screen.</w:t>
            </w:r>
          </w:p>
        </w:tc>
      </w:tr>
    </w:tbl>
    <w:p>
      <w:pPr>
        <w:spacing w:after="0" w:before="300"/>
      </w:pPr>
      <w:r>
        <w:rPr>
          <w:rFonts w:ascii="Arial" w:cs="Arial" w:eastAsia="Arial" w:hAnsi="Arial"/>
          <w:sz w:val="20"/>
          <w:szCs w:val="20"/>
        </w:rPr>
        <w:t xml:space="preserve"/>
      </w:r>
    </w:p>
    <w:p>
      <w:pPr>
        <w:pBdr>
          <w:left w:val="single" w:color="1F6F54" w:sz="12" w:space="8"/>
        </w:pBdr>
        <w:spacing w:after="40" w:before="320"/>
        <w:ind w:left="160"/>
      </w:pPr>
      <w:r>
        <w:rPr>
          <w:rFonts w:ascii="Arial" w:cs="Arial" w:eastAsia="Arial" w:hAnsi="Arial"/>
          <w:b/>
          <w:bCs/>
          <w:color w:val="1A1A1A"/>
          <w:sz w:val="22"/>
          <w:szCs w:val="22"/>
        </w:rPr>
        <w:t xml:space="preserve">9. VISUAL DO'S AND DON'TS</w:t>
      </w:r>
    </w:p>
    <w:p>
      <w:pPr>
        <w:spacing w:after="0" w:before="8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CCCCCC" w:sz="1"/>
              <w:left w:val="single" w:color="CCCCCC" w:sz="1"/>
              <w:bottom w:val="single" w:color="CCCCCC" w:sz="1"/>
              <w:right w:val="single" w:color="CCCCCC" w:sz="1"/>
            </w:tcBorders>
            <w:shd w:fill="1F6F54"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  DO</w:t>
            </w:r>
          </w:p>
        </w:tc>
        <w:tc>
          <w:tcPr>
            <w:tcW w:type="dxa" w:w="5040"/>
            <w:tcBorders>
              <w:top w:val="single" w:color="CCCCCC" w:sz="1"/>
              <w:left w:val="single" w:color="CCCCCC" w:sz="1"/>
              <w:bottom w:val="single" w:color="CCCCCC" w:sz="1"/>
              <w:right w:val="single" w:color="CCCCCC" w:sz="1"/>
            </w:tcBorders>
            <w:shd w:fill="6B1F2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  DON'T</w:t>
            </w:r>
          </w:p>
        </w:tc>
      </w:tr>
      <w:tr>
        <w:tc>
          <w:tcPr>
            <w:tcW w:type="dxa" w:w="5040"/>
            <w:tcBorders>
              <w:top w:val="single" w:color="CCCCCC" w:sz="1"/>
              <w:left w:val="single" w:color="CCCCCC" w:sz="1"/>
              <w:bottom w:val="single" w:color="CCCCCC" w:sz="1"/>
              <w:right w:val="single" w:color="CCCCCC" w:sz="1"/>
            </w:tcBorders>
            <w:shd w:fill="F2FAF6" w:val="clear"/>
            <w:tcMar>
              <w:top w:type="dxa" w:w="100"/>
              <w:left w:type="dxa" w:w="140"/>
              <w:bottom w:type="dxa" w:w="100"/>
              <w:right w:type="dxa" w:w="140"/>
            </w:tcMar>
          </w:tcPr>
          <w:p>
            <w:r>
              <w:rPr>
                <w:rFonts w:ascii="Arial" w:cs="Arial" w:eastAsia="Arial" w:hAnsi="Arial"/>
                <w:sz w:val="18"/>
                <w:szCs w:val="18"/>
              </w:rPr>
              <w:t xml:space="preserve">Use the four-colour system consistently across all graphics</w:t>
            </w:r>
          </w:p>
        </w:tc>
        <w:tc>
          <w:tcPr>
            <w:tcW w:type="dxa" w:w="5040"/>
            <w:tcBorders>
              <w:top w:val="single" w:color="CCCCCC" w:sz="1"/>
              <w:left w:val="single" w:color="CCCCCC" w:sz="1"/>
              <w:bottom w:val="single" w:color="CCCCCC" w:sz="1"/>
              <w:right w:val="single" w:color="CCCCCC" w:sz="1"/>
            </w:tcBorders>
            <w:shd w:fill="FBF0F1" w:val="clear"/>
            <w:tcMar>
              <w:top w:type="dxa" w:w="100"/>
              <w:left w:type="dxa" w:w="140"/>
              <w:bottom w:type="dxa" w:w="100"/>
              <w:right w:type="dxa" w:w="140"/>
            </w:tcMar>
          </w:tcPr>
          <w:p>
            <w:r>
              <w:rPr>
                <w:rFonts w:ascii="Arial" w:cs="Arial" w:eastAsia="Arial" w:hAnsi="Arial"/>
                <w:sz w:val="18"/>
                <w:szCs w:val="18"/>
              </w:rPr>
              <w:t xml:space="preserve">Use pure white (#FFF) as a background — always cream</w:t>
            </w:r>
          </w:p>
        </w:tc>
      </w:tr>
      <w:tr>
        <w:tc>
          <w:tcPr>
            <w:tcW w:type="dxa" w:w="5040"/>
            <w:tcBorders>
              <w:top w:val="single" w:color="CCCCCC" w:sz="1"/>
              <w:left w:val="single" w:color="CCCCCC" w:sz="1"/>
              <w:bottom w:val="single" w:color="CCCCCC" w:sz="1"/>
              <w:right w:val="single" w:color="CCCCCC" w:sz="1"/>
            </w:tcBorders>
            <w:shd w:fill="F2FAF6" w:val="clear"/>
            <w:tcMar>
              <w:top w:type="dxa" w:w="100"/>
              <w:left w:type="dxa" w:w="140"/>
              <w:bottom w:type="dxa" w:w="100"/>
              <w:right w:type="dxa" w:w="140"/>
            </w:tcMar>
          </w:tcPr>
          <w:p>
            <w:r>
              <w:rPr>
                <w:rFonts w:ascii="Arial" w:cs="Arial" w:eastAsia="Arial" w:hAnsi="Arial"/>
                <w:sz w:val="18"/>
                <w:szCs w:val="18"/>
              </w:rPr>
              <w:t xml:space="preserve">Combine warm shadows + inset highlight on all card-style elements</w:t>
            </w:r>
          </w:p>
        </w:tc>
        <w:tc>
          <w:tcPr>
            <w:tcW w:type="dxa" w:w="5040"/>
            <w:tcBorders>
              <w:top w:val="single" w:color="CCCCCC" w:sz="1"/>
              <w:left w:val="single" w:color="CCCCCC" w:sz="1"/>
              <w:bottom w:val="single" w:color="CCCCCC" w:sz="1"/>
              <w:right w:val="single" w:color="CCCCCC" w:sz="1"/>
            </w:tcBorders>
            <w:shd w:fill="FBF0F1" w:val="clear"/>
            <w:tcMar>
              <w:top w:type="dxa" w:w="100"/>
              <w:left w:type="dxa" w:w="140"/>
              <w:bottom w:type="dxa" w:w="100"/>
              <w:right w:type="dxa" w:w="140"/>
            </w:tcMar>
          </w:tcPr>
          <w:p>
            <w:r>
              <w:rPr>
                <w:rFonts w:ascii="Arial" w:cs="Arial" w:eastAsia="Arial" w:hAnsi="Arial"/>
                <w:sz w:val="18"/>
                <w:szCs w:val="18"/>
              </w:rPr>
              <w:t xml:space="preserve">Use blue-heavy colour schemes anywhere</w:t>
            </w:r>
          </w:p>
        </w:tc>
      </w:tr>
      <w:tr>
        <w:tc>
          <w:tcPr>
            <w:tcW w:type="dxa" w:w="5040"/>
            <w:tcBorders>
              <w:top w:val="single" w:color="CCCCCC" w:sz="1"/>
              <w:left w:val="single" w:color="CCCCCC" w:sz="1"/>
              <w:bottom w:val="single" w:color="CCCCCC" w:sz="1"/>
              <w:right w:val="single" w:color="CCCCCC" w:sz="1"/>
            </w:tcBorders>
            <w:shd w:fill="F2FAF6" w:val="clear"/>
            <w:tcMar>
              <w:top w:type="dxa" w:w="100"/>
              <w:left w:type="dxa" w:w="140"/>
              <w:bottom w:type="dxa" w:w="100"/>
              <w:right w:type="dxa" w:w="140"/>
            </w:tcMar>
          </w:tcPr>
          <w:p>
            <w:r>
              <w:rPr>
                <w:rFonts w:ascii="Arial" w:cs="Arial" w:eastAsia="Arial" w:hAnsi="Arial"/>
                <w:sz w:val="18"/>
                <w:szCs w:val="18"/>
              </w:rPr>
              <w:t xml:space="preserve">Apply monospace font to all data: stats, dates, hex values</w:t>
            </w:r>
          </w:p>
        </w:tc>
        <w:tc>
          <w:tcPr>
            <w:tcW w:type="dxa" w:w="5040"/>
            <w:tcBorders>
              <w:top w:val="single" w:color="CCCCCC" w:sz="1"/>
              <w:left w:val="single" w:color="CCCCCC" w:sz="1"/>
              <w:bottom w:val="single" w:color="CCCCCC" w:sz="1"/>
              <w:right w:val="single" w:color="CCCCCC" w:sz="1"/>
            </w:tcBorders>
            <w:shd w:fill="FBF0F1" w:val="clear"/>
            <w:tcMar>
              <w:top w:type="dxa" w:w="100"/>
              <w:left w:type="dxa" w:w="140"/>
              <w:bottom w:type="dxa" w:w="100"/>
              <w:right w:type="dxa" w:w="140"/>
            </w:tcMar>
          </w:tcPr>
          <w:p>
            <w:r>
              <w:rPr>
                <w:rFonts w:ascii="Arial" w:cs="Arial" w:eastAsia="Arial" w:hAnsi="Arial"/>
                <w:sz w:val="18"/>
                <w:szCs w:val="18"/>
              </w:rPr>
              <w:t xml:space="preserve">Mix warm and cold visual grades in the same sequence</w:t>
            </w:r>
          </w:p>
        </w:tc>
      </w:tr>
      <w:tr>
        <w:tc>
          <w:tcPr>
            <w:tcW w:type="dxa" w:w="5040"/>
            <w:tcBorders>
              <w:top w:val="single" w:color="CCCCCC" w:sz="1"/>
              <w:left w:val="single" w:color="CCCCCC" w:sz="1"/>
              <w:bottom w:val="single" w:color="CCCCCC" w:sz="1"/>
              <w:right w:val="single" w:color="CCCCCC" w:sz="1"/>
            </w:tcBorders>
            <w:shd w:fill="F2FAF6" w:val="clear"/>
            <w:tcMar>
              <w:top w:type="dxa" w:w="100"/>
              <w:left w:type="dxa" w:w="140"/>
              <w:bottom w:type="dxa" w:w="100"/>
              <w:right w:type="dxa" w:w="140"/>
            </w:tcMar>
          </w:tcPr>
          <w:p>
            <w:r>
              <w:rPr>
                <w:rFonts w:ascii="Arial" w:cs="Arial" w:eastAsia="Arial" w:hAnsi="Arial"/>
                <w:sz w:val="18"/>
                <w:szCs w:val="18"/>
              </w:rPr>
              <w:t xml:space="preserve">Let silence work on data reveals and key quotes</w:t>
            </w:r>
          </w:p>
        </w:tc>
        <w:tc>
          <w:tcPr>
            <w:tcW w:type="dxa" w:w="5040"/>
            <w:tcBorders>
              <w:top w:val="single" w:color="CCCCCC" w:sz="1"/>
              <w:left w:val="single" w:color="CCCCCC" w:sz="1"/>
              <w:bottom w:val="single" w:color="CCCCCC" w:sz="1"/>
              <w:right w:val="single" w:color="CCCCCC" w:sz="1"/>
            </w:tcBorders>
            <w:shd w:fill="FBF0F1" w:val="clear"/>
            <w:tcMar>
              <w:top w:type="dxa" w:w="100"/>
              <w:left w:type="dxa" w:w="140"/>
              <w:bottom w:type="dxa" w:w="100"/>
              <w:right w:type="dxa" w:w="140"/>
            </w:tcMar>
          </w:tcPr>
          <w:p>
            <w:r>
              <w:rPr>
                <w:rFonts w:ascii="Arial" w:cs="Arial" w:eastAsia="Arial" w:hAnsi="Arial"/>
                <w:sz w:val="18"/>
                <w:szCs w:val="18"/>
              </w:rPr>
              <w:t xml:space="preserve">Cover every moment with music — let breath and silence do work</w:t>
            </w:r>
          </w:p>
        </w:tc>
      </w:tr>
      <w:tr>
        <w:tc>
          <w:tcPr>
            <w:tcW w:type="dxa" w:w="5040"/>
            <w:tcBorders>
              <w:top w:val="single" w:color="CCCCCC" w:sz="1"/>
              <w:left w:val="single" w:color="CCCCCC" w:sz="1"/>
              <w:bottom w:val="single" w:color="CCCCCC" w:sz="1"/>
              <w:right w:val="single" w:color="CCCCCC" w:sz="1"/>
            </w:tcBorders>
            <w:shd w:fill="F2FAF6" w:val="clear"/>
            <w:tcMar>
              <w:top w:type="dxa" w:w="100"/>
              <w:left w:type="dxa" w:w="140"/>
              <w:bottom w:type="dxa" w:w="100"/>
              <w:right w:type="dxa" w:w="140"/>
            </w:tcMar>
          </w:tcPr>
          <w:p>
            <w:r>
              <w:rPr>
                <w:rFonts w:ascii="Arial" w:cs="Arial" w:eastAsia="Arial" w:hAnsi="Arial"/>
                <w:sz w:val="18"/>
                <w:szCs w:val="18"/>
              </w:rPr>
              <w:t xml:space="preserve">Keep glow effects at 0.2–0.4 opacity — subtle authority, not neon</w:t>
            </w:r>
          </w:p>
        </w:tc>
        <w:tc>
          <w:tcPr>
            <w:tcW w:type="dxa" w:w="5040"/>
            <w:tcBorders>
              <w:top w:val="single" w:color="CCCCCC" w:sz="1"/>
              <w:left w:val="single" w:color="CCCCCC" w:sz="1"/>
              <w:bottom w:val="single" w:color="CCCCCC" w:sz="1"/>
              <w:right w:val="single" w:color="CCCCCC" w:sz="1"/>
            </w:tcBorders>
            <w:shd w:fill="FBF0F1" w:val="clear"/>
            <w:tcMar>
              <w:top w:type="dxa" w:w="100"/>
              <w:left w:type="dxa" w:w="140"/>
              <w:bottom w:type="dxa" w:w="100"/>
              <w:right w:type="dxa" w:w="140"/>
            </w:tcMar>
          </w:tcPr>
          <w:p>
            <w:r>
              <w:rPr>
                <w:rFonts w:ascii="Arial" w:cs="Arial" w:eastAsia="Arial" w:hAnsi="Arial"/>
                <w:sz w:val="18"/>
                <w:szCs w:val="18"/>
              </w:rPr>
              <w:t xml:space="preserve">Use full-saturation colours outside the brand palette</w:t>
            </w:r>
          </w:p>
        </w:tc>
      </w:tr>
      <w:tr>
        <w:tc>
          <w:tcPr>
            <w:tcW w:type="dxa" w:w="5040"/>
            <w:tcBorders>
              <w:top w:val="single" w:color="CCCCCC" w:sz="1"/>
              <w:left w:val="single" w:color="CCCCCC" w:sz="1"/>
              <w:bottom w:val="single" w:color="CCCCCC" w:sz="1"/>
              <w:right w:val="single" w:color="CCCCCC" w:sz="1"/>
            </w:tcBorders>
            <w:shd w:fill="F2FAF6" w:val="clear"/>
            <w:tcMar>
              <w:top w:type="dxa" w:w="100"/>
              <w:left w:type="dxa" w:w="140"/>
              <w:bottom w:type="dxa" w:w="100"/>
              <w:right w:type="dxa" w:w="140"/>
            </w:tcMar>
          </w:tcPr>
          <w:p>
            <w:r>
              <w:rPr>
                <w:rFonts w:ascii="Arial" w:cs="Arial" w:eastAsia="Arial" w:hAnsi="Arial"/>
                <w:sz w:val="18"/>
                <w:szCs w:val="18"/>
              </w:rPr>
              <w:t xml:space="preserve">Maintain the brand gradient for exactly ONE focal element per frame</w:t>
            </w:r>
          </w:p>
        </w:tc>
        <w:tc>
          <w:tcPr>
            <w:tcW w:type="dxa" w:w="5040"/>
            <w:tcBorders>
              <w:top w:val="single" w:color="CCCCCC" w:sz="1"/>
              <w:left w:val="single" w:color="CCCCCC" w:sz="1"/>
              <w:bottom w:val="single" w:color="CCCCCC" w:sz="1"/>
              <w:right w:val="single" w:color="CCCCCC" w:sz="1"/>
            </w:tcBorders>
            <w:shd w:fill="FBF0F1" w:val="clear"/>
            <w:tcMar>
              <w:top w:type="dxa" w:w="100"/>
              <w:left w:type="dxa" w:w="140"/>
              <w:bottom w:type="dxa" w:w="100"/>
              <w:right w:type="dxa" w:w="140"/>
            </w:tcMar>
          </w:tcPr>
          <w:p>
            <w:r>
              <w:rPr>
                <w:rFonts w:ascii="Arial" w:cs="Arial" w:eastAsia="Arial" w:hAnsi="Arial"/>
                <w:sz w:val="18"/>
                <w:szCs w:val="18"/>
              </w:rPr>
              <w:t xml:space="preserve">Apply gradient to backgrounds or entire frames</w:t>
            </w:r>
          </w:p>
        </w:tc>
      </w:tr>
      <w:tr>
        <w:tc>
          <w:tcPr>
            <w:tcW w:type="dxa" w:w="5040"/>
            <w:tcBorders>
              <w:top w:val="single" w:color="CCCCCC" w:sz="1"/>
              <w:left w:val="single" w:color="CCCCCC" w:sz="1"/>
              <w:bottom w:val="single" w:color="CCCCCC" w:sz="1"/>
              <w:right w:val="single" w:color="CCCCCC" w:sz="1"/>
            </w:tcBorders>
            <w:shd w:fill="F2FAF6" w:val="clear"/>
            <w:tcMar>
              <w:top w:type="dxa" w:w="100"/>
              <w:left w:type="dxa" w:w="140"/>
              <w:bottom w:type="dxa" w:w="100"/>
              <w:right w:type="dxa" w:w="140"/>
            </w:tcMar>
          </w:tcPr>
          <w:p>
            <w:r>
              <w:rPr>
                <w:rFonts w:ascii="Arial" w:cs="Arial" w:eastAsia="Arial" w:hAnsi="Arial"/>
                <w:sz w:val="18"/>
                <w:szCs w:val="18"/>
              </w:rPr>
              <w:t xml:space="preserve">Grade archive footage with grain/sepia to separate time periods</w:t>
            </w:r>
          </w:p>
        </w:tc>
        <w:tc>
          <w:tcPr>
            <w:tcW w:type="dxa" w:w="5040"/>
            <w:tcBorders>
              <w:top w:val="single" w:color="CCCCCC" w:sz="1"/>
              <w:left w:val="single" w:color="CCCCCC" w:sz="1"/>
              <w:bottom w:val="single" w:color="CCCCCC" w:sz="1"/>
              <w:right w:val="single" w:color="CCCCCC" w:sz="1"/>
            </w:tcBorders>
            <w:shd w:fill="FBF0F1" w:val="clear"/>
            <w:tcMar>
              <w:top w:type="dxa" w:w="100"/>
              <w:left w:type="dxa" w:w="140"/>
              <w:bottom w:type="dxa" w:w="100"/>
              <w:right w:type="dxa" w:w="140"/>
            </w:tcMar>
          </w:tcPr>
          <w:p>
            <w:r>
              <w:rPr>
                <w:rFonts w:ascii="Arial" w:cs="Arial" w:eastAsia="Arial" w:hAnsi="Arial"/>
                <w:sz w:val="18"/>
                <w:szCs w:val="18"/>
              </w:rPr>
              <w:t xml:space="preserve">Use identical grade for contemporary and historical material</w:t>
            </w:r>
          </w:p>
        </w:tc>
      </w:tr>
      <w:tr>
        <w:tc>
          <w:tcPr>
            <w:tcW w:type="dxa" w:w="5040"/>
            <w:tcBorders>
              <w:top w:val="single" w:color="CCCCCC" w:sz="1"/>
              <w:left w:val="single" w:color="CCCCCC" w:sz="1"/>
              <w:bottom w:val="single" w:color="CCCCCC" w:sz="1"/>
              <w:right w:val="single" w:color="CCCCCC" w:sz="1"/>
            </w:tcBorders>
            <w:shd w:fill="F2FAF6" w:val="clear"/>
            <w:tcMar>
              <w:top w:type="dxa" w:w="100"/>
              <w:left w:type="dxa" w:w="140"/>
              <w:bottom w:type="dxa" w:w="100"/>
              <w:right w:type="dxa" w:w="140"/>
            </w:tcMar>
          </w:tcPr>
          <w:p>
            <w:r>
              <w:rPr>
                <w:rFonts w:ascii="Arial" w:cs="Arial" w:eastAsia="Arial" w:hAnsi="Arial"/>
                <w:sz w:val="18"/>
                <w:szCs w:val="18"/>
              </w:rPr>
              <w:t xml:space="preserve">Test thumbnail at small size — legible at 120×90px</w:t>
            </w:r>
          </w:p>
        </w:tc>
        <w:tc>
          <w:tcPr>
            <w:tcW w:type="dxa" w:w="5040"/>
            <w:tcBorders>
              <w:top w:val="single" w:color="CCCCCC" w:sz="1"/>
              <w:left w:val="single" w:color="CCCCCC" w:sz="1"/>
              <w:bottom w:val="single" w:color="CCCCCC" w:sz="1"/>
              <w:right w:val="single" w:color="CCCCCC" w:sz="1"/>
            </w:tcBorders>
            <w:shd w:fill="FBF0F1" w:val="clear"/>
            <w:tcMar>
              <w:top w:type="dxa" w:w="100"/>
              <w:left w:type="dxa" w:w="140"/>
              <w:bottom w:type="dxa" w:w="100"/>
              <w:right w:type="dxa" w:w="140"/>
            </w:tcMar>
          </w:tcPr>
          <w:p>
            <w:r>
              <w:rPr>
                <w:rFonts w:ascii="Arial" w:cs="Arial" w:eastAsia="Arial" w:hAnsi="Arial"/>
                <w:sz w:val="18"/>
                <w:szCs w:val="18"/>
              </w:rPr>
              <w:t xml:space="preserve">Thumbnail text over 5 words or two competing focal points</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2026-06-04T13:21:52.853Z</dcterms:created>
  <dcterms:modified xsi:type="dcterms:W3CDTF">2026-06-04T13:21:52.854Z</dcterms:modified>
</cp:coreProperties>
</file>

<file path=docProps/custom.xml><?xml version="1.0" encoding="utf-8"?>
<Properties xmlns="http://schemas.openxmlformats.org/officeDocument/2006/custom-properties" xmlns:vt="http://schemas.openxmlformats.org/officeDocument/2006/docPropsVTypes"/>
</file>