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2C4FE" w14:textId="77777777" w:rsidR="00733A9C" w:rsidRDefault="00733A9C" w:rsidP="00733A9C">
      <w:pPr>
        <w:jc w:val="center"/>
        <w:rPr>
          <w:sz w:val="52"/>
          <w:szCs w:val="52"/>
          <w:u w:val="single"/>
        </w:rPr>
      </w:pPr>
    </w:p>
    <w:p w14:paraId="2598F4C5" w14:textId="77777777" w:rsidR="00733A9C" w:rsidRDefault="00733A9C" w:rsidP="00733A9C">
      <w:pPr>
        <w:jc w:val="center"/>
        <w:rPr>
          <w:sz w:val="52"/>
          <w:szCs w:val="52"/>
          <w:u w:val="single"/>
        </w:rPr>
      </w:pPr>
    </w:p>
    <w:p w14:paraId="1A7EF19E" w14:textId="48EC201E" w:rsidR="005A5EE8" w:rsidRPr="00733A9C" w:rsidRDefault="00733A9C" w:rsidP="00733A9C">
      <w:pPr>
        <w:jc w:val="center"/>
        <w:rPr>
          <w:sz w:val="52"/>
          <w:szCs w:val="52"/>
          <w:u w:val="single"/>
        </w:rPr>
      </w:pPr>
      <w:r w:rsidRPr="00733A9C">
        <w:rPr>
          <w:sz w:val="52"/>
          <w:szCs w:val="52"/>
          <w:u w:val="single"/>
        </w:rPr>
        <w:t>Teamprojekt</w:t>
      </w:r>
    </w:p>
    <w:p w14:paraId="53AB5C33" w14:textId="77777777" w:rsidR="00733A9C" w:rsidRPr="00733A9C" w:rsidRDefault="00733A9C" w:rsidP="00733A9C">
      <w:pPr>
        <w:jc w:val="center"/>
        <w:rPr>
          <w:sz w:val="40"/>
          <w:szCs w:val="40"/>
        </w:rPr>
      </w:pPr>
    </w:p>
    <w:p w14:paraId="07864C69" w14:textId="41760991" w:rsidR="00733A9C" w:rsidRDefault="00733A9C" w:rsidP="00733A9C">
      <w:pPr>
        <w:jc w:val="center"/>
        <w:rPr>
          <w:sz w:val="40"/>
          <w:szCs w:val="40"/>
        </w:rPr>
      </w:pPr>
      <w:r w:rsidRPr="00733A9C">
        <w:rPr>
          <w:sz w:val="40"/>
          <w:szCs w:val="40"/>
        </w:rPr>
        <w:t>Automatische Strompreisoptimierung für Einfamilienhäuser mit Solaranlage und Batteriespeicher</w:t>
      </w:r>
    </w:p>
    <w:p w14:paraId="563C44FD" w14:textId="77777777" w:rsidR="00733A9C" w:rsidRDefault="00733A9C" w:rsidP="00733A9C">
      <w:pPr>
        <w:jc w:val="center"/>
        <w:rPr>
          <w:sz w:val="40"/>
          <w:szCs w:val="40"/>
        </w:rPr>
      </w:pPr>
    </w:p>
    <w:p w14:paraId="74B8B66E" w14:textId="77777777" w:rsidR="00733A9C" w:rsidRDefault="00733A9C" w:rsidP="00733A9C">
      <w:pPr>
        <w:jc w:val="center"/>
        <w:rPr>
          <w:sz w:val="40"/>
          <w:szCs w:val="40"/>
        </w:rPr>
      </w:pPr>
    </w:p>
    <w:p w14:paraId="1EAADC37" w14:textId="77777777" w:rsidR="00733A9C" w:rsidRDefault="00733A9C" w:rsidP="00733A9C">
      <w:pPr>
        <w:jc w:val="center"/>
        <w:rPr>
          <w:sz w:val="40"/>
          <w:szCs w:val="40"/>
        </w:rPr>
      </w:pPr>
    </w:p>
    <w:p w14:paraId="6EEC6B4E" w14:textId="36D52C0C" w:rsidR="00733A9C" w:rsidRDefault="00733A9C" w:rsidP="00733A9C">
      <w:pPr>
        <w:jc w:val="center"/>
        <w:rPr>
          <w:sz w:val="28"/>
          <w:szCs w:val="28"/>
        </w:rPr>
      </w:pPr>
      <w:r>
        <w:rPr>
          <w:sz w:val="28"/>
          <w:szCs w:val="28"/>
        </w:rPr>
        <w:t>Abdullah Manap</w:t>
      </w:r>
    </w:p>
    <w:p w14:paraId="5F2B4D18" w14:textId="1CB77D57" w:rsidR="00733A9C" w:rsidRDefault="00733A9C" w:rsidP="00733A9C">
      <w:pPr>
        <w:jc w:val="center"/>
        <w:rPr>
          <w:sz w:val="28"/>
          <w:szCs w:val="28"/>
        </w:rPr>
      </w:pPr>
      <w:r>
        <w:rPr>
          <w:sz w:val="28"/>
          <w:szCs w:val="28"/>
        </w:rPr>
        <w:t>11142864</w:t>
      </w:r>
    </w:p>
    <w:p w14:paraId="0C3940A6" w14:textId="77777777" w:rsidR="00733A9C" w:rsidRDefault="00733A9C" w:rsidP="00733A9C">
      <w:pPr>
        <w:jc w:val="center"/>
        <w:rPr>
          <w:sz w:val="28"/>
          <w:szCs w:val="28"/>
        </w:rPr>
      </w:pPr>
    </w:p>
    <w:p w14:paraId="2988A950" w14:textId="77777777" w:rsidR="00733A9C" w:rsidRDefault="00733A9C" w:rsidP="00733A9C">
      <w:pPr>
        <w:jc w:val="center"/>
        <w:rPr>
          <w:sz w:val="28"/>
          <w:szCs w:val="28"/>
        </w:rPr>
      </w:pPr>
    </w:p>
    <w:p w14:paraId="372E0B14" w14:textId="31181B35" w:rsidR="00733A9C" w:rsidRDefault="00733A9C" w:rsidP="00733A9C">
      <w:pPr>
        <w:jc w:val="center"/>
        <w:rPr>
          <w:sz w:val="28"/>
          <w:szCs w:val="28"/>
        </w:rPr>
      </w:pPr>
      <w:r>
        <w:rPr>
          <w:sz w:val="28"/>
          <w:szCs w:val="28"/>
        </w:rPr>
        <w:t>Eingereicht bei:</w:t>
      </w:r>
    </w:p>
    <w:p w14:paraId="3840A5B9" w14:textId="388D3E51" w:rsidR="00E80ECE" w:rsidRDefault="00733A9C" w:rsidP="00733A9C">
      <w:pPr>
        <w:jc w:val="center"/>
        <w:rPr>
          <w:sz w:val="28"/>
          <w:szCs w:val="28"/>
        </w:rPr>
      </w:pPr>
      <w:r>
        <w:rPr>
          <w:sz w:val="28"/>
          <w:szCs w:val="28"/>
        </w:rPr>
        <w:t>Prof. Dr. Michael Freiburg</w:t>
      </w:r>
    </w:p>
    <w:p w14:paraId="1D9C68F8" w14:textId="77777777" w:rsidR="00E80ECE" w:rsidRDefault="00E80ECE">
      <w:pPr>
        <w:rPr>
          <w:sz w:val="28"/>
          <w:szCs w:val="28"/>
        </w:rPr>
      </w:pPr>
      <w:r>
        <w:rPr>
          <w:sz w:val="28"/>
          <w:szCs w:val="28"/>
        </w:rPr>
        <w:br w:type="page"/>
      </w:r>
    </w:p>
    <w:p w14:paraId="318914C2" w14:textId="2DD66A96" w:rsidR="00AE7938" w:rsidRDefault="00AE7938" w:rsidP="00E80ECE">
      <w:pPr>
        <w:pStyle w:val="berschrift1"/>
      </w:pPr>
      <w:r>
        <w:lastRenderedPageBreak/>
        <w:t>Einleitung</w:t>
      </w:r>
    </w:p>
    <w:p w14:paraId="12226DA9" w14:textId="30815681" w:rsidR="00AE7938" w:rsidRPr="00AE7938" w:rsidRDefault="00AE7938" w:rsidP="00A32C8D">
      <w:r>
        <w:t>Seit 2025 wurden in Deutschland dynamische Strompreise eingeführt, die den Verbrauche</w:t>
      </w:r>
      <w:r w:rsidR="00DE0791">
        <w:t>r</w:t>
      </w:r>
      <w:r>
        <w:t xml:space="preserve">n ermöglichen variable Strompreise </w:t>
      </w:r>
      <w:r w:rsidR="00DE0791">
        <w:t>zu kaufen. Es werden in unterschiedlichen Zeiten von der Strombörse Strompreise festgelegt. Die Strompreise werden abhängig von dem Erneuerbaren Energien erzeugten Strom errechnet. Das heißt also, dass die Wetterbedingung den Strompreis beeinflussen. Bei viel Sonne und Wind sinkt dann der Börsenpreis entsprechen. Die Strompreise werden ein Tag vorher festgelegt. Durch die Bereitstellung von Schnittstellen und Lastprofile von Einfamilienhäusern wird in dieser</w:t>
      </w:r>
      <w:r>
        <w:t xml:space="preserve"> Teamprojekt Arbeit eine Software programmiert, die eine Strompreisoptimierung mittels von Daten aus der PV-Prognosen, Wettervorhersagen sowie dynamisch Strompreise ermöglich</w:t>
      </w:r>
      <w:r w:rsidR="00DE0791">
        <w:t>t</w:t>
      </w:r>
      <w:r w:rsidR="00D0362F">
        <w:t>.</w:t>
      </w:r>
    </w:p>
    <w:p w14:paraId="78596EDB" w14:textId="1D1E6157" w:rsidR="00E80ECE" w:rsidRDefault="00E80ECE" w:rsidP="00E80ECE">
      <w:pPr>
        <w:pStyle w:val="berschrift1"/>
      </w:pPr>
      <w:r>
        <w:t>Dynamische Strompreise</w:t>
      </w:r>
    </w:p>
    <w:p w14:paraId="0B839CAF" w14:textId="185EB079" w:rsidR="00F3148E" w:rsidRDefault="00E80ECE" w:rsidP="00624DDE">
      <w:r>
        <w:t xml:space="preserve">An erster Linie wollen wir </w:t>
      </w:r>
      <w:r w:rsidR="00D60244">
        <w:t>herausfinden,</w:t>
      </w:r>
      <w:r>
        <w:t xml:space="preserve"> wie sich d</w:t>
      </w:r>
      <w:r w:rsidR="00624DDE">
        <w:t>er</w:t>
      </w:r>
      <w:r>
        <w:t xml:space="preserve"> Strompreis überhaupt </w:t>
      </w:r>
      <w:r w:rsidR="00F3148E">
        <w:t>zusammensetzt</w:t>
      </w:r>
      <w:r w:rsidR="000B1703">
        <w:t xml:space="preserve"> und was der Börsenpreis ist</w:t>
      </w:r>
      <w:r w:rsidR="00624DDE">
        <w:t>.</w:t>
      </w:r>
      <w:r w:rsidR="000B1703">
        <w:t xml:space="preserve"> Anhand der Daten von Bundesverband der Energie- und Wasserwirtschaft e.V. können wir festlegen, dass der durchschnittliche </w:t>
      </w:r>
      <w:r w:rsidR="000401BD">
        <w:t>Strompreis</w:t>
      </w:r>
      <w:r w:rsidR="000B1703">
        <w:t xml:space="preserve"> von einem Haushalt </w:t>
      </w:r>
      <w:proofErr w:type="gramStart"/>
      <w:r w:rsidR="00624DDE">
        <w:t>stand</w:t>
      </w:r>
      <w:proofErr w:type="gramEnd"/>
      <w:r w:rsidR="00624DDE">
        <w:t xml:space="preserve"> Juli 2025 </w:t>
      </w:r>
      <w:r w:rsidR="00D60244">
        <w:t xml:space="preserve">in Deutschland bei </w:t>
      </w:r>
      <w:r w:rsidR="00624DDE">
        <w:t xml:space="preserve">39,7 ct/kWh </w:t>
      </w:r>
      <w:r w:rsidR="00D60244">
        <w:t>liegt</w:t>
      </w:r>
      <w:r w:rsidR="00624DDE">
        <w:t>.</w:t>
      </w:r>
      <w:r w:rsidR="00F3148E">
        <w:t xml:space="preserve"> </w:t>
      </w:r>
      <w:r w:rsidR="000B1703">
        <w:t xml:space="preserve">Dabei wurde ein Jahresverbrauch von 3.500 kWh betrachtet. Der </w:t>
      </w:r>
      <w:r w:rsidR="00802066">
        <w:t xml:space="preserve">Gesamtpreis eines Strompreises bildet sich aus der Beschaffung </w:t>
      </w:r>
      <w:r w:rsidR="00656685">
        <w:t>des Stromes,</w:t>
      </w:r>
      <w:r w:rsidR="00A32C8D">
        <w:t xml:space="preserve"> wobei der Anteil bei 41 % liegt. Zum anderen habe</w:t>
      </w:r>
      <w:r w:rsidR="00425257">
        <w:t>n</w:t>
      </w:r>
      <w:r w:rsidR="00A32C8D">
        <w:t xml:space="preserve"> Netzentgelte </w:t>
      </w:r>
      <w:r w:rsidR="00656685">
        <w:t>einen Anteil</w:t>
      </w:r>
      <w:r w:rsidR="00A32C8D">
        <w:t xml:space="preserve"> des </w:t>
      </w:r>
      <w:r w:rsidR="00656685">
        <w:t>Strom-</w:t>
      </w:r>
    </w:p>
    <w:p w14:paraId="2A415AA8" w14:textId="681228B7" w:rsidR="00794218" w:rsidRDefault="00F3148E" w:rsidP="00624DDE">
      <w:r>
        <w:rPr>
          <w:noProof/>
        </w:rPr>
        <w:drawing>
          <wp:inline distT="0" distB="0" distL="0" distR="0" wp14:anchorId="1BB0D3DE" wp14:editId="4108573A">
            <wp:extent cx="5486400" cy="3200400"/>
            <wp:effectExtent l="0" t="0" r="12700" b="12700"/>
            <wp:docPr id="1073664768"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CBC768E" w14:textId="5CA9B7CF" w:rsidR="00A32C8D" w:rsidRDefault="00656685" w:rsidP="00624DDE">
      <w:r>
        <w:lastRenderedPageBreak/>
        <w:t xml:space="preserve">preises </w:t>
      </w:r>
      <w:r w:rsidR="00A32C8D">
        <w:t>von 27</w:t>
      </w:r>
      <w:r>
        <w:t>%</w:t>
      </w:r>
      <w:r w:rsidR="00A32C8D">
        <w:t xml:space="preserve">. Diese werden für die Nutzung und Ausbau der Strompreise abgerechnet. Rest </w:t>
      </w:r>
      <w:r>
        <w:t>des Anteiles</w:t>
      </w:r>
      <w:r w:rsidR="00A32C8D">
        <w:t xml:space="preserve"> </w:t>
      </w:r>
      <w:r>
        <w:t>besitzt die Steuern, Abgaben und Umlagen mit 32 %</w:t>
      </w:r>
      <w:r w:rsidR="00572D4C">
        <w:t>.</w:t>
      </w:r>
      <w:r>
        <w:t xml:space="preserve"> </w:t>
      </w:r>
    </w:p>
    <w:p w14:paraId="18434B7F" w14:textId="2613B23E" w:rsidR="003B5954" w:rsidRDefault="003B5954" w:rsidP="00624DDE">
      <w:r>
        <w:rPr>
          <w:noProof/>
        </w:rPr>
        <w:drawing>
          <wp:inline distT="0" distB="0" distL="0" distR="0" wp14:anchorId="5FC6DAFC" wp14:editId="44015BEE">
            <wp:extent cx="5486400" cy="3200400"/>
            <wp:effectExtent l="0" t="0" r="12700" b="12700"/>
            <wp:docPr id="877635150"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77AC861" w14:textId="77777777" w:rsidR="00A32C8D" w:rsidRDefault="00A32C8D">
      <w:pPr>
        <w:spacing w:line="240" w:lineRule="auto"/>
        <w:jc w:val="left"/>
      </w:pPr>
    </w:p>
    <w:p w14:paraId="5A233880" w14:textId="28ACC8F5" w:rsidR="00D5716B" w:rsidRDefault="00802066" w:rsidP="00A32C8D">
      <w:r>
        <w:t>Dadrunter fallen Abgaben wie die KWKG-Umlage</w:t>
      </w:r>
      <w:r w:rsidR="009E48D1">
        <w:t xml:space="preserve"> (2025 beträgt die Umlage </w:t>
      </w:r>
      <w:r w:rsidR="003A54F1">
        <w:t>bei 0,277 ct/kWh)</w:t>
      </w:r>
      <w:r>
        <w:t xml:space="preserve">, Offshore-Netzumlage, </w:t>
      </w:r>
      <w:r w:rsidRPr="00802066">
        <w:t>§19 StromNEV-Umlage</w:t>
      </w:r>
      <w:r>
        <w:t>, Konzessionsabgabe, Stromsteuer und die Mehwertsteuer.</w:t>
      </w:r>
      <w:r w:rsidR="00A32C8D">
        <w:t xml:space="preserve"> Die Strompreise werden in der Strombörse EPEX Spot gehandelt. Dabei bildet sich der Strompreis durch das Verhältnis von Angebot und Nachfrage. Um bei Überlast </w:t>
      </w:r>
      <w:r w:rsidR="00AF2557">
        <w:t>das Netz</w:t>
      </w:r>
      <w:r w:rsidR="00A32C8D">
        <w:t xml:space="preserve"> im Gleichgewicht </w:t>
      </w:r>
      <w:r w:rsidR="00AF2557">
        <w:t>zu halten</w:t>
      </w:r>
      <w:r w:rsidR="00A32C8D">
        <w:t xml:space="preserve">, </w:t>
      </w:r>
      <w:r w:rsidR="00AF2557">
        <w:t>werden die Strompreise günstiger gehandelt</w:t>
      </w:r>
      <w:r w:rsidR="00A32C8D">
        <w:t>. Aber wenn zu viel Strom erzeugt wird und dabei das Wetter passend ist, wie s</w:t>
      </w:r>
      <w:r w:rsidR="00AF2557">
        <w:t>o</w:t>
      </w:r>
      <w:r w:rsidR="00A32C8D">
        <w:t xml:space="preserve">nnige Tage oder viel Windenergie, wird der Strompreis günstig </w:t>
      </w:r>
      <w:r w:rsidR="00AF2557">
        <w:t>angepasst</w:t>
      </w:r>
      <w:r w:rsidR="00A32C8D">
        <w:t>. Aus dieser</w:t>
      </w:r>
      <w:r w:rsidR="009903BF">
        <w:t xml:space="preserve"> </w:t>
      </w:r>
      <w:r w:rsidR="00A32C8D">
        <w:t xml:space="preserve">Grundlage werden die dynamischen Strompreise </w:t>
      </w:r>
      <w:r w:rsidR="00AF2557">
        <w:t>s</w:t>
      </w:r>
      <w:r w:rsidR="009903BF">
        <w:t>tunde</w:t>
      </w:r>
      <w:r w:rsidR="00AF2557">
        <w:t>n</w:t>
      </w:r>
      <w:r w:rsidR="009903BF">
        <w:t>weis</w:t>
      </w:r>
      <w:r w:rsidR="00AF2557">
        <w:t>e</w:t>
      </w:r>
      <w:r w:rsidR="00A32C8D">
        <w:t xml:space="preserve"> </w:t>
      </w:r>
      <w:r w:rsidR="00AF2557">
        <w:t xml:space="preserve">für den folgenden Tag </w:t>
      </w:r>
      <w:r w:rsidR="00D94117">
        <w:t>bestimmt</w:t>
      </w:r>
      <w:r w:rsidR="009903BF">
        <w:t xml:space="preserve">. Dieser Art von Handel wird auch als Day-Ahead-Markt </w:t>
      </w:r>
      <w:r w:rsidR="00D94117">
        <w:t>benannt oder die Strompreise auch als Day-Ahead-Preise.</w:t>
      </w:r>
      <w:r w:rsidR="00425257">
        <w:t xml:space="preserve"> Dazu gibt es den Intraday-Preis</w:t>
      </w:r>
      <w:r w:rsidR="00E252D7">
        <w:t>, in dem der Preis noch am selben Tag gehandelt wird.</w:t>
      </w:r>
    </w:p>
    <w:p w14:paraId="47D159E9" w14:textId="77777777" w:rsidR="00D5716B" w:rsidRDefault="00D5716B" w:rsidP="00A32C8D"/>
    <w:p w14:paraId="587A1787" w14:textId="3AC7DA58" w:rsidR="00D0362F" w:rsidRDefault="00D5716B" w:rsidP="00A32C8D">
      <w:r>
        <w:t xml:space="preserve">Für die Verfügbarkeit von Daten über dynamische Strompreise, wird für die Software eine Schnittstelle (API) aufgesucht. Dadurch werden aktuelle Strompreise aus dem Börsenmarkt übermittelt, womit die </w:t>
      </w:r>
      <w:r w:rsidR="003A54F1">
        <w:t>dynamischen Stromp</w:t>
      </w:r>
      <w:r>
        <w:t>reise in die Software eingebunden werden können.</w:t>
      </w:r>
      <w:r w:rsidR="00D0362F">
        <w:t xml:space="preserve"> </w:t>
      </w:r>
      <w:r w:rsidR="00572D4C">
        <w:t>Die aufgesuchte Schnittstelle</w:t>
      </w:r>
      <w:r w:rsidR="00D0362F">
        <w:t xml:space="preserve"> mit den Börsenpreisen </w:t>
      </w:r>
      <w:r w:rsidR="00572D4C">
        <w:t xml:space="preserve">wird </w:t>
      </w:r>
      <w:r w:rsidR="00D0362F">
        <w:t xml:space="preserve">verglichen und nach Richtigkeit geprüft. </w:t>
      </w:r>
      <w:r w:rsidR="00994D9B">
        <w:t xml:space="preserve">Dabei wurde eine Schnittstelle des Unternehmens </w:t>
      </w:r>
      <w:proofErr w:type="spellStart"/>
      <w:r w:rsidR="00994D9B">
        <w:t>Tado</w:t>
      </w:r>
      <w:proofErr w:type="spellEnd"/>
      <w:r w:rsidR="00994D9B">
        <w:t xml:space="preserve"> genutzt</w:t>
      </w:r>
      <w:r w:rsidR="00572D4C">
        <w:t xml:space="preserve"> und</w:t>
      </w:r>
      <w:r w:rsidR="00994D9B">
        <w:t xml:space="preserve"> die am Börsenmarkt ermittelten Day-Ahead-Strompreise mit den Daten vom 27.09.2025 zu vergleichen.</w:t>
      </w:r>
    </w:p>
    <w:tbl>
      <w:tblPr>
        <w:tblStyle w:val="Tabellenraster"/>
        <w:tblpPr w:leftFromText="141" w:rightFromText="141" w:vertAnchor="text" w:tblpXSpec="center" w:tblpY="1"/>
        <w:tblOverlap w:val="never"/>
        <w:tblW w:w="0" w:type="auto"/>
        <w:tblLook w:val="04A0" w:firstRow="1" w:lastRow="0" w:firstColumn="1" w:lastColumn="0" w:noHBand="0" w:noVBand="1"/>
      </w:tblPr>
      <w:tblGrid>
        <w:gridCol w:w="2002"/>
        <w:gridCol w:w="2002"/>
        <w:gridCol w:w="2002"/>
        <w:gridCol w:w="2002"/>
      </w:tblGrid>
      <w:tr w:rsidR="00853F67" w14:paraId="2613B08B" w14:textId="4B7C2DDD" w:rsidTr="00CC0755">
        <w:trPr>
          <w:trHeight w:val="653"/>
        </w:trPr>
        <w:tc>
          <w:tcPr>
            <w:tcW w:w="2002" w:type="dxa"/>
            <w:vAlign w:val="center"/>
          </w:tcPr>
          <w:p w14:paraId="5FB4000C" w14:textId="2B9BD82E" w:rsidR="00853F67" w:rsidRDefault="00853F67" w:rsidP="00987A58">
            <w:pPr>
              <w:jc w:val="center"/>
            </w:pPr>
            <w:r>
              <w:lastRenderedPageBreak/>
              <w:t>Stunde</w:t>
            </w:r>
          </w:p>
        </w:tc>
        <w:tc>
          <w:tcPr>
            <w:tcW w:w="2002" w:type="dxa"/>
            <w:vAlign w:val="center"/>
          </w:tcPr>
          <w:p w14:paraId="1772B197" w14:textId="1E0A8F3A" w:rsidR="00853F67" w:rsidRDefault="00853F67" w:rsidP="00987A58">
            <w:pPr>
              <w:jc w:val="center"/>
            </w:pPr>
            <w:r>
              <w:t>Preis (ct/kWh)</w:t>
            </w:r>
          </w:p>
        </w:tc>
        <w:tc>
          <w:tcPr>
            <w:tcW w:w="2002" w:type="dxa"/>
            <w:vAlign w:val="center"/>
          </w:tcPr>
          <w:p w14:paraId="75F85CE3" w14:textId="11BFCFE9" w:rsidR="00853F67" w:rsidRDefault="00853F67" w:rsidP="00E815AC">
            <w:pPr>
              <w:spacing w:line="240" w:lineRule="auto"/>
              <w:jc w:val="center"/>
            </w:pPr>
            <w:r>
              <w:t>Stunde</w:t>
            </w:r>
          </w:p>
        </w:tc>
        <w:tc>
          <w:tcPr>
            <w:tcW w:w="2002" w:type="dxa"/>
            <w:vAlign w:val="center"/>
          </w:tcPr>
          <w:p w14:paraId="541055FE" w14:textId="0697E0EF" w:rsidR="00853F67" w:rsidRDefault="00853F67" w:rsidP="00987A58">
            <w:pPr>
              <w:spacing w:line="240" w:lineRule="auto"/>
              <w:jc w:val="left"/>
            </w:pPr>
            <w:r>
              <w:t>Preis (ct/kWh)</w:t>
            </w:r>
          </w:p>
        </w:tc>
      </w:tr>
      <w:tr w:rsidR="00987A58" w14:paraId="7D2C636B" w14:textId="0B9CE8A6" w:rsidTr="00CC0755">
        <w:trPr>
          <w:trHeight w:val="653"/>
        </w:trPr>
        <w:tc>
          <w:tcPr>
            <w:tcW w:w="2002" w:type="dxa"/>
            <w:vAlign w:val="center"/>
          </w:tcPr>
          <w:p w14:paraId="5C68914C" w14:textId="06CD5B9F" w:rsidR="00987A58" w:rsidRDefault="00987A58" w:rsidP="00987A58">
            <w:pPr>
              <w:jc w:val="center"/>
            </w:pPr>
            <w:r>
              <w:t>14-15</w:t>
            </w:r>
          </w:p>
        </w:tc>
        <w:tc>
          <w:tcPr>
            <w:tcW w:w="2002" w:type="dxa"/>
            <w:vAlign w:val="center"/>
          </w:tcPr>
          <w:p w14:paraId="329AF16B" w14:textId="7060AE7F" w:rsidR="00987A58" w:rsidRDefault="00987A58" w:rsidP="00987A58">
            <w:pPr>
              <w:jc w:val="center"/>
            </w:pPr>
            <w:r>
              <w:t>4.85</w:t>
            </w:r>
          </w:p>
        </w:tc>
        <w:tc>
          <w:tcPr>
            <w:tcW w:w="2002" w:type="dxa"/>
            <w:vAlign w:val="center"/>
          </w:tcPr>
          <w:p w14:paraId="1D95E825" w14:textId="2B48484D" w:rsidR="00987A58" w:rsidRDefault="00987A58" w:rsidP="00987A58">
            <w:pPr>
              <w:spacing w:line="240" w:lineRule="auto"/>
              <w:jc w:val="center"/>
            </w:pPr>
            <w:r>
              <w:t>21-22</w:t>
            </w:r>
          </w:p>
        </w:tc>
        <w:tc>
          <w:tcPr>
            <w:tcW w:w="2002" w:type="dxa"/>
            <w:vAlign w:val="center"/>
          </w:tcPr>
          <w:p w14:paraId="1AF7A3FE" w14:textId="69A8BA43" w:rsidR="00987A58" w:rsidRDefault="00987A58" w:rsidP="00987A58">
            <w:pPr>
              <w:spacing w:line="240" w:lineRule="auto"/>
              <w:jc w:val="center"/>
            </w:pPr>
            <w:r>
              <w:t>11.44</w:t>
            </w:r>
          </w:p>
        </w:tc>
      </w:tr>
      <w:tr w:rsidR="00987A58" w14:paraId="7D75F8A4" w14:textId="23D677F7" w:rsidTr="00CC0755">
        <w:trPr>
          <w:trHeight w:val="653"/>
        </w:trPr>
        <w:tc>
          <w:tcPr>
            <w:tcW w:w="2002" w:type="dxa"/>
            <w:vAlign w:val="center"/>
          </w:tcPr>
          <w:p w14:paraId="2AEF0000" w14:textId="550376DB" w:rsidR="00987A58" w:rsidRDefault="00987A58" w:rsidP="00987A58">
            <w:pPr>
              <w:jc w:val="center"/>
            </w:pPr>
            <w:r>
              <w:t>15-16</w:t>
            </w:r>
          </w:p>
        </w:tc>
        <w:tc>
          <w:tcPr>
            <w:tcW w:w="2002" w:type="dxa"/>
            <w:vAlign w:val="center"/>
          </w:tcPr>
          <w:p w14:paraId="2DDFCADB" w14:textId="3B709FA0" w:rsidR="00987A58" w:rsidRDefault="00987A58" w:rsidP="00987A58">
            <w:pPr>
              <w:jc w:val="center"/>
            </w:pPr>
            <w:r>
              <w:t>7.82</w:t>
            </w:r>
          </w:p>
        </w:tc>
        <w:tc>
          <w:tcPr>
            <w:tcW w:w="2002" w:type="dxa"/>
            <w:vAlign w:val="center"/>
          </w:tcPr>
          <w:p w14:paraId="75C504DC" w14:textId="5A446729" w:rsidR="00987A58" w:rsidRDefault="00987A58" w:rsidP="00987A58">
            <w:pPr>
              <w:spacing w:line="240" w:lineRule="auto"/>
              <w:jc w:val="center"/>
            </w:pPr>
            <w:r>
              <w:t>22-23</w:t>
            </w:r>
          </w:p>
        </w:tc>
        <w:tc>
          <w:tcPr>
            <w:tcW w:w="2002" w:type="dxa"/>
            <w:vAlign w:val="center"/>
          </w:tcPr>
          <w:p w14:paraId="22586CBA" w14:textId="01028336" w:rsidR="00987A58" w:rsidRDefault="00CC0755" w:rsidP="00987A58">
            <w:pPr>
              <w:spacing w:line="240" w:lineRule="auto"/>
              <w:jc w:val="center"/>
            </w:pPr>
            <w:r>
              <w:t>10.75</w:t>
            </w:r>
          </w:p>
        </w:tc>
      </w:tr>
      <w:tr w:rsidR="00987A58" w14:paraId="4575464C" w14:textId="532B40FE" w:rsidTr="00CC0755">
        <w:trPr>
          <w:trHeight w:val="653"/>
        </w:trPr>
        <w:tc>
          <w:tcPr>
            <w:tcW w:w="2002" w:type="dxa"/>
            <w:vAlign w:val="center"/>
          </w:tcPr>
          <w:p w14:paraId="31D0978D" w14:textId="1BED6894" w:rsidR="00987A58" w:rsidRDefault="00987A58" w:rsidP="00987A58">
            <w:pPr>
              <w:jc w:val="center"/>
            </w:pPr>
            <w:r>
              <w:t>16-17</w:t>
            </w:r>
          </w:p>
        </w:tc>
        <w:tc>
          <w:tcPr>
            <w:tcW w:w="2002" w:type="dxa"/>
            <w:vAlign w:val="center"/>
          </w:tcPr>
          <w:p w14:paraId="2A52CC53" w14:textId="120E5C68" w:rsidR="00987A58" w:rsidRDefault="00987A58" w:rsidP="00987A58">
            <w:pPr>
              <w:jc w:val="center"/>
            </w:pPr>
            <w:r>
              <w:t>9.31</w:t>
            </w:r>
          </w:p>
        </w:tc>
        <w:tc>
          <w:tcPr>
            <w:tcW w:w="2002" w:type="dxa"/>
            <w:vAlign w:val="center"/>
          </w:tcPr>
          <w:p w14:paraId="3D6943BD" w14:textId="75EA47DF" w:rsidR="00987A58" w:rsidRDefault="00987A58" w:rsidP="00987A58">
            <w:pPr>
              <w:spacing w:line="240" w:lineRule="auto"/>
              <w:jc w:val="center"/>
            </w:pPr>
            <w:r>
              <w:t>23-24</w:t>
            </w:r>
          </w:p>
        </w:tc>
        <w:tc>
          <w:tcPr>
            <w:tcW w:w="2002" w:type="dxa"/>
            <w:vAlign w:val="center"/>
          </w:tcPr>
          <w:p w14:paraId="0A587FFB" w14:textId="273437E8" w:rsidR="00987A58" w:rsidRDefault="00CC0755" w:rsidP="00987A58">
            <w:pPr>
              <w:spacing w:line="240" w:lineRule="auto"/>
              <w:jc w:val="center"/>
            </w:pPr>
            <w:r>
              <w:t>9.95</w:t>
            </w:r>
          </w:p>
        </w:tc>
      </w:tr>
      <w:tr w:rsidR="00CC0755" w14:paraId="6E6823CA" w14:textId="3B668FCD" w:rsidTr="00CC0755">
        <w:trPr>
          <w:trHeight w:val="653"/>
        </w:trPr>
        <w:tc>
          <w:tcPr>
            <w:tcW w:w="2002" w:type="dxa"/>
            <w:vAlign w:val="center"/>
          </w:tcPr>
          <w:p w14:paraId="3F16A9A7" w14:textId="64965570" w:rsidR="00CC0755" w:rsidRDefault="00CC0755" w:rsidP="00CC0755">
            <w:pPr>
              <w:jc w:val="center"/>
            </w:pPr>
            <w:r>
              <w:t>17-18</w:t>
            </w:r>
          </w:p>
        </w:tc>
        <w:tc>
          <w:tcPr>
            <w:tcW w:w="2002" w:type="dxa"/>
            <w:vAlign w:val="center"/>
          </w:tcPr>
          <w:p w14:paraId="63772F8D" w14:textId="7B21F59F" w:rsidR="00CC0755" w:rsidRDefault="00CC0755" w:rsidP="00CC0755">
            <w:pPr>
              <w:jc w:val="center"/>
            </w:pPr>
            <w:r>
              <w:t>11.2</w:t>
            </w:r>
          </w:p>
        </w:tc>
        <w:tc>
          <w:tcPr>
            <w:tcW w:w="2002" w:type="dxa"/>
            <w:vAlign w:val="center"/>
          </w:tcPr>
          <w:p w14:paraId="68A7774C" w14:textId="4A74B440" w:rsidR="00CC0755" w:rsidRDefault="00CC0755" w:rsidP="00CC0755">
            <w:pPr>
              <w:spacing w:line="240" w:lineRule="auto"/>
              <w:jc w:val="center"/>
            </w:pPr>
            <w:r>
              <w:t>0-1</w:t>
            </w:r>
          </w:p>
        </w:tc>
        <w:tc>
          <w:tcPr>
            <w:tcW w:w="2002" w:type="dxa"/>
            <w:vAlign w:val="center"/>
          </w:tcPr>
          <w:p w14:paraId="7B9897EA" w14:textId="15A9AD5C" w:rsidR="00CC0755" w:rsidRDefault="00CC0755" w:rsidP="00CC0755">
            <w:pPr>
              <w:spacing w:line="240" w:lineRule="auto"/>
              <w:jc w:val="center"/>
            </w:pPr>
            <w:r>
              <w:t>9.75</w:t>
            </w:r>
          </w:p>
        </w:tc>
      </w:tr>
      <w:tr w:rsidR="00CC0755" w14:paraId="5CD4DCB7" w14:textId="612E7103" w:rsidTr="00CC0755">
        <w:trPr>
          <w:trHeight w:val="627"/>
        </w:trPr>
        <w:tc>
          <w:tcPr>
            <w:tcW w:w="2002" w:type="dxa"/>
            <w:vAlign w:val="center"/>
          </w:tcPr>
          <w:p w14:paraId="2C31E7FB" w14:textId="3B5A3F87" w:rsidR="00CC0755" w:rsidRDefault="00CC0755" w:rsidP="00CC0755">
            <w:pPr>
              <w:jc w:val="center"/>
            </w:pPr>
            <w:r>
              <w:t>18-19</w:t>
            </w:r>
          </w:p>
        </w:tc>
        <w:tc>
          <w:tcPr>
            <w:tcW w:w="2002" w:type="dxa"/>
            <w:vAlign w:val="center"/>
          </w:tcPr>
          <w:p w14:paraId="119D5BBB" w14:textId="6DC7504E" w:rsidR="00CC0755" w:rsidRDefault="00CC0755" w:rsidP="00CC0755">
            <w:pPr>
              <w:jc w:val="center"/>
            </w:pPr>
            <w:r>
              <w:t>13.33</w:t>
            </w:r>
          </w:p>
        </w:tc>
        <w:tc>
          <w:tcPr>
            <w:tcW w:w="2002" w:type="dxa"/>
            <w:vAlign w:val="center"/>
          </w:tcPr>
          <w:p w14:paraId="4DB2664B" w14:textId="09D1B1EE" w:rsidR="00CC0755" w:rsidRDefault="00CC0755" w:rsidP="00CC0755">
            <w:pPr>
              <w:spacing w:line="240" w:lineRule="auto"/>
              <w:jc w:val="center"/>
            </w:pPr>
            <w:r>
              <w:t>1-2</w:t>
            </w:r>
          </w:p>
        </w:tc>
        <w:tc>
          <w:tcPr>
            <w:tcW w:w="2002" w:type="dxa"/>
            <w:vAlign w:val="center"/>
          </w:tcPr>
          <w:p w14:paraId="500B1BCB" w14:textId="6EDD27E1" w:rsidR="00CC0755" w:rsidRDefault="00CC0755" w:rsidP="00CC0755">
            <w:pPr>
              <w:spacing w:line="240" w:lineRule="auto"/>
              <w:jc w:val="center"/>
            </w:pPr>
            <w:r>
              <w:t>9.53</w:t>
            </w:r>
          </w:p>
        </w:tc>
      </w:tr>
      <w:tr w:rsidR="00CC0755" w14:paraId="7B3B1499" w14:textId="1AAB0F17" w:rsidTr="00CC0755">
        <w:trPr>
          <w:trHeight w:val="653"/>
        </w:trPr>
        <w:tc>
          <w:tcPr>
            <w:tcW w:w="2002" w:type="dxa"/>
            <w:vAlign w:val="center"/>
          </w:tcPr>
          <w:p w14:paraId="6D2432C4" w14:textId="670FDD41" w:rsidR="00CC0755" w:rsidRDefault="00CC0755" w:rsidP="00CC0755">
            <w:pPr>
              <w:jc w:val="center"/>
            </w:pPr>
            <w:r>
              <w:t>19-20</w:t>
            </w:r>
          </w:p>
        </w:tc>
        <w:tc>
          <w:tcPr>
            <w:tcW w:w="2002" w:type="dxa"/>
            <w:vAlign w:val="center"/>
          </w:tcPr>
          <w:p w14:paraId="20BC84B0" w14:textId="649F5781" w:rsidR="00CC0755" w:rsidRDefault="00CC0755" w:rsidP="00CC0755">
            <w:pPr>
              <w:jc w:val="center"/>
            </w:pPr>
            <w:r>
              <w:t>14.86</w:t>
            </w:r>
          </w:p>
        </w:tc>
        <w:tc>
          <w:tcPr>
            <w:tcW w:w="2002" w:type="dxa"/>
            <w:vAlign w:val="center"/>
          </w:tcPr>
          <w:p w14:paraId="2F6E9B88" w14:textId="345447C8" w:rsidR="00CC0755" w:rsidRDefault="00CC0755" w:rsidP="00CC0755">
            <w:pPr>
              <w:spacing w:line="240" w:lineRule="auto"/>
              <w:jc w:val="center"/>
            </w:pPr>
            <w:r>
              <w:t>2-3</w:t>
            </w:r>
          </w:p>
        </w:tc>
        <w:tc>
          <w:tcPr>
            <w:tcW w:w="2002" w:type="dxa"/>
            <w:vAlign w:val="center"/>
          </w:tcPr>
          <w:p w14:paraId="41517065" w14:textId="2D742492" w:rsidR="00CC0755" w:rsidRDefault="00CC0755" w:rsidP="00CC0755">
            <w:pPr>
              <w:spacing w:line="240" w:lineRule="auto"/>
              <w:jc w:val="center"/>
            </w:pPr>
            <w:r>
              <w:t>9.43</w:t>
            </w:r>
          </w:p>
        </w:tc>
      </w:tr>
      <w:tr w:rsidR="00CC0755" w14:paraId="34FA141A" w14:textId="2A4B9F18" w:rsidTr="00CC0755">
        <w:trPr>
          <w:trHeight w:val="653"/>
        </w:trPr>
        <w:tc>
          <w:tcPr>
            <w:tcW w:w="2002" w:type="dxa"/>
            <w:vAlign w:val="center"/>
          </w:tcPr>
          <w:p w14:paraId="2492286C" w14:textId="5F4144F6" w:rsidR="00CC0755" w:rsidRDefault="00CC0755" w:rsidP="00CC0755">
            <w:pPr>
              <w:jc w:val="center"/>
            </w:pPr>
            <w:r>
              <w:t>20-21</w:t>
            </w:r>
          </w:p>
        </w:tc>
        <w:tc>
          <w:tcPr>
            <w:tcW w:w="2002" w:type="dxa"/>
            <w:vAlign w:val="center"/>
          </w:tcPr>
          <w:p w14:paraId="16256E03" w14:textId="69A98EA7" w:rsidR="00CC0755" w:rsidRDefault="00CC0755" w:rsidP="00CC0755">
            <w:pPr>
              <w:jc w:val="center"/>
            </w:pPr>
            <w:r>
              <w:t>12.25</w:t>
            </w:r>
          </w:p>
        </w:tc>
        <w:tc>
          <w:tcPr>
            <w:tcW w:w="2002" w:type="dxa"/>
            <w:vAlign w:val="center"/>
          </w:tcPr>
          <w:p w14:paraId="32232347" w14:textId="1CD9F642" w:rsidR="00CC0755" w:rsidRDefault="00CC0755" w:rsidP="00CC0755">
            <w:pPr>
              <w:spacing w:line="240" w:lineRule="auto"/>
              <w:jc w:val="center"/>
            </w:pPr>
            <w:r>
              <w:t>3-4</w:t>
            </w:r>
          </w:p>
        </w:tc>
        <w:tc>
          <w:tcPr>
            <w:tcW w:w="2002" w:type="dxa"/>
            <w:vAlign w:val="center"/>
          </w:tcPr>
          <w:p w14:paraId="090D202E" w14:textId="671A2E5C" w:rsidR="00CC0755" w:rsidRDefault="00CC0755" w:rsidP="006A2CF7">
            <w:pPr>
              <w:keepNext/>
              <w:spacing w:line="240" w:lineRule="auto"/>
              <w:jc w:val="center"/>
            </w:pPr>
            <w:r>
              <w:t>9.14</w:t>
            </w:r>
          </w:p>
        </w:tc>
      </w:tr>
    </w:tbl>
    <w:p w14:paraId="0F7DC52F" w14:textId="6A10806F" w:rsidR="006A2CF7" w:rsidRDefault="006A2CF7" w:rsidP="006A2CF7">
      <w:pPr>
        <w:pStyle w:val="Beschriftung"/>
        <w:framePr w:hSpace="141" w:wrap="around" w:vAnchor="text" w:hAnchor="text" w:xAlign="center" w:y="1"/>
        <w:suppressOverlap/>
      </w:pPr>
      <w:r>
        <w:t xml:space="preserve">Tabelle </w:t>
      </w:r>
      <w:fldSimple w:instr=" SEQ Tabelle \* ARABIC ">
        <w:r w:rsidR="00095F25">
          <w:rPr>
            <w:noProof/>
          </w:rPr>
          <w:t>1</w:t>
        </w:r>
      </w:fldSimple>
      <w:r>
        <w:t xml:space="preserve"> </w:t>
      </w:r>
      <w:proofErr w:type="spellStart"/>
      <w:r>
        <w:t>EpexSpot</w:t>
      </w:r>
      <w:proofErr w:type="spellEnd"/>
      <w:r>
        <w:t xml:space="preserve"> Börsenpreise</w:t>
      </w:r>
      <w:r w:rsidR="00FE11DE">
        <w:t xml:space="preserve"> [2]</w:t>
      </w:r>
    </w:p>
    <w:p w14:paraId="0F532421" w14:textId="5BDC6FCB" w:rsidR="00FD7435" w:rsidRDefault="00987A58" w:rsidP="00A32C8D">
      <w:r>
        <w:br w:type="textWrapping" w:clear="all"/>
      </w:r>
    </w:p>
    <w:p w14:paraId="155C1E8A" w14:textId="77777777" w:rsidR="006A2CF7" w:rsidRDefault="00FD7435" w:rsidP="006A2CF7">
      <w:pPr>
        <w:keepNext/>
        <w:jc w:val="center"/>
      </w:pPr>
      <w:r>
        <w:rPr>
          <w:noProof/>
        </w:rPr>
        <w:drawing>
          <wp:inline distT="0" distB="0" distL="0" distR="0" wp14:anchorId="123CB07B" wp14:editId="5B6DA229">
            <wp:extent cx="5760720" cy="2468880"/>
            <wp:effectExtent l="0" t="0" r="5080" b="0"/>
            <wp:docPr id="915687897" name="Grafik 3" descr="Ein Bild, das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7897" name="Grafik 3" descr="Ein Bild, das Diagramm, Reihe, Screenshot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14:paraId="544E427F" w14:textId="672B4B06" w:rsidR="00FD7435" w:rsidRDefault="006A2CF7" w:rsidP="006A2CF7">
      <w:pPr>
        <w:pStyle w:val="Beschriftung"/>
        <w:jc w:val="center"/>
      </w:pPr>
      <w:r>
        <w:t xml:space="preserve">Abbildung </w:t>
      </w:r>
      <w:fldSimple w:instr=" SEQ Abbildung \* ARABIC ">
        <w:r w:rsidR="009853BA">
          <w:rPr>
            <w:noProof/>
          </w:rPr>
          <w:t>1</w:t>
        </w:r>
      </w:fldSimple>
      <w:r>
        <w:t xml:space="preserve"> Dynamische Strompreise aus Schnittstelle (Tado)</w:t>
      </w:r>
    </w:p>
    <w:p w14:paraId="30EAAAFB" w14:textId="43DEF519" w:rsidR="00C80117" w:rsidRDefault="006A2CF7" w:rsidP="00C80117">
      <w:pPr>
        <w:keepNext/>
      </w:pPr>
      <w:r>
        <w:t>Anhand der Tabelle 1</w:t>
      </w:r>
      <w:r w:rsidR="00AD06C5">
        <w:t xml:space="preserve"> (</w:t>
      </w:r>
      <w:proofErr w:type="spellStart"/>
      <w:r w:rsidR="00AD06C5">
        <w:t>EpexSpot</w:t>
      </w:r>
      <w:proofErr w:type="spellEnd"/>
      <w:r w:rsidR="00AD06C5">
        <w:t xml:space="preserve"> Börsenpreise)</w:t>
      </w:r>
      <w:r>
        <w:t xml:space="preserve"> und Abbildung 1</w:t>
      </w:r>
      <w:r w:rsidR="00AD06C5">
        <w:t xml:space="preserve"> (Dynamische Strompreise aus Schnittstelle)</w:t>
      </w:r>
      <w:r>
        <w:t xml:space="preserve"> kann festgestellt werden, dass die dynamischen Strompreise und die Börsenpreise </w:t>
      </w:r>
      <w:r w:rsidR="00AD06C5">
        <w:t xml:space="preserve">identisch sind und </w:t>
      </w:r>
      <w:r w:rsidR="00572D4C">
        <w:t>keine großen Abweichungen</w:t>
      </w:r>
      <w:r w:rsidR="00AD06C5">
        <w:t xml:space="preserve"> aufweisen.</w:t>
      </w:r>
      <w:r w:rsidR="00C80117">
        <w:t xml:space="preserve"> Auch die von dem Unternehmen Vattenfall veröffentlichte Strompreise</w:t>
      </w:r>
      <w:r w:rsidR="00572D4C">
        <w:t xml:space="preserve"> </w:t>
      </w:r>
      <w:r w:rsidR="00C80117">
        <w:lastRenderedPageBreak/>
        <w:t>wurde verglichen. Es wurde festgestellt, dass die Preise ebenso identisch veröffentlicht wurden.</w:t>
      </w:r>
    </w:p>
    <w:p w14:paraId="47C29263" w14:textId="53DBC392" w:rsidR="00C80117" w:rsidRDefault="00C80117" w:rsidP="00C80117">
      <w:pPr>
        <w:keepNext/>
        <w:jc w:val="center"/>
      </w:pPr>
      <w:r>
        <w:rPr>
          <w:noProof/>
        </w:rPr>
        <w:drawing>
          <wp:inline distT="0" distB="0" distL="0" distR="0" wp14:anchorId="0A9169B7" wp14:editId="35AE2B16">
            <wp:extent cx="5760720" cy="2071370"/>
            <wp:effectExtent l="0" t="0" r="5080" b="0"/>
            <wp:docPr id="1174731911" name="Grafik 4" descr="Ein Bild, das Screenshot, Tex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1911" name="Grafik 4" descr="Ein Bild, das Screenshot, Text, Diagramm, Schrif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71370"/>
                    </a:xfrm>
                    <a:prstGeom prst="rect">
                      <a:avLst/>
                    </a:prstGeom>
                  </pic:spPr>
                </pic:pic>
              </a:graphicData>
            </a:graphic>
          </wp:inline>
        </w:drawing>
      </w:r>
    </w:p>
    <w:p w14:paraId="2BA98AC8" w14:textId="4676DF15" w:rsidR="006A2CF7" w:rsidRPr="006A2CF7" w:rsidRDefault="00C80117" w:rsidP="00C80117">
      <w:pPr>
        <w:pStyle w:val="Beschriftung"/>
        <w:jc w:val="center"/>
      </w:pPr>
      <w:r>
        <w:t xml:space="preserve">Abbildung </w:t>
      </w:r>
      <w:fldSimple w:instr=" SEQ Abbildung \* ARABIC ">
        <w:r w:rsidR="009853BA">
          <w:rPr>
            <w:noProof/>
          </w:rPr>
          <w:t>2</w:t>
        </w:r>
      </w:fldSimple>
      <w:r>
        <w:t xml:space="preserve"> Dynamische Strompreis (Vattenfall)</w:t>
      </w:r>
      <w:r w:rsidR="00D128D4">
        <w:t xml:space="preserve"> [3]</w:t>
      </w:r>
    </w:p>
    <w:p w14:paraId="198D9E1C" w14:textId="77777777" w:rsidR="002D6C6F" w:rsidRDefault="002D6C6F" w:rsidP="002D6C6F">
      <w:pPr>
        <w:pStyle w:val="berschrift1"/>
      </w:pPr>
      <w:r w:rsidRPr="002D6C6F">
        <w:t>Lastprofile</w:t>
      </w:r>
    </w:p>
    <w:p w14:paraId="2C35FBAD" w14:textId="208705D6" w:rsidR="00C564F8" w:rsidRDefault="002D6C6F" w:rsidP="002D6C6F">
      <w:r>
        <w:t>Für die Optimierung der Strompreise wird ein Lastprofil benötigt, da vorerst ermittelt werden muss, wie hoch der Verbrauch in den jeweiligen Stunden aussieht und ob die Lasten für eine Optimierung verschoben werden können.</w:t>
      </w:r>
      <w:r w:rsidR="00B37B73">
        <w:t xml:space="preserve"> Auf Basis der Standardlastprofile möchte wir als Eingang des Systems für die Software ein realistisches Lastprofil erstellen und diese für die Optimierung nutzen. Ziel dabei ist ein 24h Stunden Profil zu erstellen.</w:t>
      </w:r>
      <w:r w:rsidR="00C564F8">
        <w:t xml:space="preserve"> Dafür nehmen wir die Standardlastprofile, die von der BDEW zur Verfügung gestellt werden.</w:t>
      </w:r>
      <w:r w:rsidR="00280469">
        <w:t xml:space="preserve"> Standardlastprofile sind Lastprofile die für Verbraucher unter 100.000 kWh/Jahr zu Verfügung gestellt werden. Das sind Verbrauchsverhalten einer bestimmten Verbrauchergruppe, die viertelstündig den Mittelwert des Verbrauchs wiedergeben. Da ein Lastgangmessung zu aufwendig für den Verbraucher unter 100.000 kWh/Jahr ist, werden die Standardlastprofile zu Verfügung gestellt</w:t>
      </w:r>
      <w:r w:rsidR="00A63C70">
        <w:t xml:space="preserve"> [7,</w:t>
      </w:r>
      <w:r w:rsidR="005E3551">
        <w:t xml:space="preserve"> </w:t>
      </w:r>
      <w:r w:rsidR="00A63C70">
        <w:t>S.</w:t>
      </w:r>
      <w:r w:rsidR="00774262">
        <w:t xml:space="preserve"> </w:t>
      </w:r>
      <w:r w:rsidR="00A63C70">
        <w:t>377]</w:t>
      </w:r>
      <w:r w:rsidR="00280469">
        <w:t>.</w:t>
      </w:r>
      <w:r w:rsidR="006C76BA">
        <w:t xml:space="preserve"> </w:t>
      </w:r>
      <w:r w:rsidR="001978E7">
        <w:t xml:space="preserve">In den Standardlastprofilen werden die Profile eingeteilt in Werktagen, Samstagen und Sonntagen und nach den Jahreszeiten, in dem sich der Verbrauch unterscheidet. </w:t>
      </w:r>
      <w:r w:rsidR="00C564F8">
        <w:t xml:space="preserve">Diese Daten sind auf 1.000.000 kWh Verbrauch für eine Jahr normiert. </w:t>
      </w:r>
      <w:r w:rsidR="009E073F">
        <w:t xml:space="preserve">Um diese Werte zu </w:t>
      </w:r>
      <w:r w:rsidR="005967AC">
        <w:t>nutzen,</w:t>
      </w:r>
      <w:r w:rsidR="009E073F">
        <w:t xml:space="preserve"> muss folgendes berechnet werden:</w:t>
      </w:r>
    </w:p>
    <w:p w14:paraId="4A74F130" w14:textId="77777777" w:rsidR="00C564F8" w:rsidRPr="00C564F8" w:rsidRDefault="00C564F8" w:rsidP="002D6C6F">
      <w:pPr>
        <w:rPr>
          <w:rFonts w:eastAsiaTheme="minorEastAsia"/>
        </w:rPr>
      </w:pPr>
    </w:p>
    <w:p w14:paraId="6061ED22" w14:textId="3E315CF0" w:rsidR="00C564F8" w:rsidRPr="00C564F8" w:rsidRDefault="00C564F8" w:rsidP="002D6C6F">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SLP</m:t>
                  </m:r>
                </m:sub>
              </m:sSub>
            </m:num>
            <m:den>
              <m:r>
                <w:rPr>
                  <w:rFonts w:ascii="Cambria Math" w:hAnsi="Cambria Math"/>
                </w:rPr>
                <m:t>1.000.000</m:t>
              </m:r>
            </m:den>
          </m:f>
          <m:r>
            <w:rPr>
              <w:rFonts w:ascii="Cambria Math" w:hAnsi="Cambria Math"/>
            </w:rPr>
            <m:t>*b</m:t>
          </m:r>
        </m:oMath>
      </m:oMathPara>
    </w:p>
    <w:p w14:paraId="21160E67" w14:textId="0C2CAEB8" w:rsidR="009E073F" w:rsidRPr="009E073F" w:rsidRDefault="009E073F" w:rsidP="002D6C6F">
      <w:pPr>
        <w:rPr>
          <w:rFonts w:eastAsiaTheme="minorEastAsia"/>
          <w:vertAlign w:val="subscript"/>
        </w:rPr>
      </w:pPr>
    </w:p>
    <w:p w14:paraId="12D50D8C" w14:textId="77777777" w:rsidR="009E073F" w:rsidRPr="009E073F" w:rsidRDefault="00000000" w:rsidP="002D6C6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SLP</m:t>
              </m:r>
            </m:sub>
          </m:sSub>
          <m:r>
            <w:rPr>
              <w:rFonts w:ascii="Cambria Math" w:eastAsiaTheme="minorEastAsia" w:hAnsi="Cambria Math"/>
            </w:rPr>
            <m:t>=Wert aus der SLP Tabelle</m:t>
          </m:r>
        </m:oMath>
      </m:oMathPara>
    </w:p>
    <w:p w14:paraId="6F27DA3C" w14:textId="77777777" w:rsidR="009E073F" w:rsidRPr="009E073F" w:rsidRDefault="009E073F" w:rsidP="002D6C6F">
      <w:pPr>
        <w:rPr>
          <w:rFonts w:eastAsiaTheme="minorEastAsia"/>
        </w:rPr>
      </w:pPr>
      <m:oMathPara>
        <m:oMath>
          <m:r>
            <w:rPr>
              <w:rFonts w:ascii="Cambria Math" w:hAnsi="Cambria Math"/>
            </w:rPr>
            <m:t>b=Jahresverbrauch je nach Einwohnerzahl</m:t>
          </m:r>
        </m:oMath>
      </m:oMathPara>
    </w:p>
    <w:p w14:paraId="6189DC1C" w14:textId="77777777" w:rsidR="00CA6737" w:rsidRDefault="00CA6737" w:rsidP="002D6C6F"/>
    <w:p w14:paraId="225B3AC7" w14:textId="77777777" w:rsidR="00566331" w:rsidRDefault="009E073F" w:rsidP="002D6C6F">
      <w:r>
        <w:t>Mit dieser Berechnung kommen wir auf den entsprechenden Verbrauch. Bei der B</w:t>
      </w:r>
      <w:r w:rsidR="00CA6737">
        <w:t xml:space="preserve">estimmung </w:t>
      </w:r>
      <w:r w:rsidR="006151DD">
        <w:t>dieser Daten möchten wir von einem Einfamilienhaus mit 4 Personen ausgehen. Dazu nehmen wird den Durchschnittsverbrauch in Kenntnis. Anhand der Quellen sind diese zu Vergleichen. Der Durchschnittsverbrauch ohne Warmwasserbereitung laut Vattenfall beträgt 4000 kWh</w:t>
      </w:r>
      <w:r w:rsidR="00AD0AF1">
        <w:t xml:space="preserve"> [3]</w:t>
      </w:r>
      <w:r w:rsidR="006151DD">
        <w:t>. Nach ADAC liegt der Wert bei maximal 4500 kWh</w:t>
      </w:r>
      <w:r w:rsidR="00566331">
        <w:t xml:space="preserve"> [4]</w:t>
      </w:r>
      <w:r w:rsidR="006151DD">
        <w:t>. Anders wird der Wert bei Enpal angegeben. Dort wir</w:t>
      </w:r>
      <w:r w:rsidR="00643902">
        <w:t>d</w:t>
      </w:r>
      <w:r w:rsidR="006151DD">
        <w:t xml:space="preserve"> ein Wert zwischen 4000 bis 5100 kWh jährlich geschätzt</w:t>
      </w:r>
      <w:r w:rsidR="00566331">
        <w:t xml:space="preserve"> [5]</w:t>
      </w:r>
      <w:r w:rsidR="006151DD">
        <w:t>.</w:t>
      </w:r>
    </w:p>
    <w:p w14:paraId="4226A3CA" w14:textId="0AFFEDD2" w:rsidR="00566331" w:rsidRDefault="00566331" w:rsidP="002D6C6F">
      <w:r>
        <w:t>Nach den vorliegenden Angaben setzen wir das Durchschnittsverbrauch bei 4000 kWh, die wir mit in die Rechnung einbeziehen.</w:t>
      </w:r>
    </w:p>
    <w:p w14:paraId="57D2AF64" w14:textId="77777777" w:rsidR="00497BDF" w:rsidRDefault="00497BDF" w:rsidP="002D6C6F"/>
    <w:p w14:paraId="5F664D74" w14:textId="6251CB82" w:rsidR="00566331" w:rsidRPr="00C564F8" w:rsidRDefault="00566331" w:rsidP="00566331">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SLP</m:t>
                  </m:r>
                </m:sub>
              </m:sSub>
            </m:num>
            <m:den>
              <m:r>
                <w:rPr>
                  <w:rFonts w:ascii="Cambria Math" w:hAnsi="Cambria Math"/>
                </w:rPr>
                <m:t>1.000.000</m:t>
              </m:r>
            </m:den>
          </m:f>
          <m:r>
            <w:rPr>
              <w:rFonts w:ascii="Cambria Math" w:hAnsi="Cambria Math"/>
            </w:rPr>
            <m:t>*4000 kWh</m:t>
          </m:r>
        </m:oMath>
      </m:oMathPara>
    </w:p>
    <w:p w14:paraId="46E8931F" w14:textId="5D488517" w:rsidR="009E073F" w:rsidRDefault="00802066" w:rsidP="002D6C6F">
      <w:r>
        <w:br w:type="page"/>
      </w:r>
    </w:p>
    <w:p w14:paraId="0648F175" w14:textId="19DA5A55" w:rsidR="007D0A88" w:rsidRDefault="00E46C46" w:rsidP="00AA04E0">
      <w:pPr>
        <w:pStyle w:val="berschrift1"/>
      </w:pPr>
      <w:r>
        <w:lastRenderedPageBreak/>
        <w:t xml:space="preserve">Berechnung des </w:t>
      </w:r>
      <w:r w:rsidR="007D0A88">
        <w:t>PV-Ertrags</w:t>
      </w:r>
    </w:p>
    <w:p w14:paraId="65B2913C" w14:textId="631D4D95" w:rsidR="00095F25" w:rsidRDefault="00095F25" w:rsidP="007D0A88">
      <w:r>
        <w:t xml:space="preserve">Für die Berechnung des PV-Ertrags muss an erste Linie die Sonnenposition und der Einfallswinkel bestimmt werden. Mittels der Sonnenhöhe und das Sonnenazimut werden diese berechnet. Vorher </w:t>
      </w:r>
      <w:r w:rsidR="00525FD5">
        <w:t xml:space="preserve">muss bestimmt werden wie </w:t>
      </w:r>
      <w:r>
        <w:t xml:space="preserve">der Sonnenazimut, also dem Winkel zwischen der geographischen Nordrichtung und dem Vertikalkreis durch den Sonnenmittelpunkt, </w:t>
      </w:r>
      <w:r w:rsidR="00525FD5">
        <w:t xml:space="preserve">beschrieben wird. Dafür wir wie in der Tabelle 2 die folgenden Bezeichnungen verwendet </w:t>
      </w:r>
      <w:r w:rsidR="004872DB">
        <w:t>[</w:t>
      </w:r>
      <w:r w:rsidR="003A08F4">
        <w:t>6, S.83]</w:t>
      </w:r>
      <w:r>
        <w:t>.</w:t>
      </w:r>
    </w:p>
    <w:p w14:paraId="5471944B" w14:textId="77777777" w:rsidR="00095F25" w:rsidRDefault="00095F25" w:rsidP="007D0A88"/>
    <w:tbl>
      <w:tblPr>
        <w:tblStyle w:val="Tabellenraster"/>
        <w:tblW w:w="0" w:type="auto"/>
        <w:tblLook w:val="04A0" w:firstRow="1" w:lastRow="0" w:firstColumn="1" w:lastColumn="0" w:noHBand="0" w:noVBand="1"/>
      </w:tblPr>
      <w:tblGrid>
        <w:gridCol w:w="1132"/>
        <w:gridCol w:w="1132"/>
        <w:gridCol w:w="1133"/>
        <w:gridCol w:w="1133"/>
        <w:gridCol w:w="1133"/>
        <w:gridCol w:w="1133"/>
        <w:gridCol w:w="1133"/>
        <w:gridCol w:w="1133"/>
      </w:tblGrid>
      <w:tr w:rsidR="00095F25" w14:paraId="345CF2C4" w14:textId="77777777" w:rsidTr="00095F25">
        <w:tc>
          <w:tcPr>
            <w:tcW w:w="1132" w:type="dxa"/>
            <w:vAlign w:val="center"/>
          </w:tcPr>
          <w:p w14:paraId="555E172B" w14:textId="121782BB" w:rsidR="00095F25" w:rsidRDefault="00095F25" w:rsidP="00095F25">
            <w:pPr>
              <w:jc w:val="center"/>
            </w:pPr>
            <w:r>
              <w:t>N</w:t>
            </w:r>
          </w:p>
        </w:tc>
        <w:tc>
          <w:tcPr>
            <w:tcW w:w="1132" w:type="dxa"/>
            <w:vAlign w:val="center"/>
          </w:tcPr>
          <w:p w14:paraId="15ABA81D" w14:textId="14F1B09C" w:rsidR="00095F25" w:rsidRDefault="00095F25" w:rsidP="00095F25">
            <w:pPr>
              <w:jc w:val="center"/>
            </w:pPr>
            <w:r>
              <w:t>NO</w:t>
            </w:r>
          </w:p>
        </w:tc>
        <w:tc>
          <w:tcPr>
            <w:tcW w:w="1133" w:type="dxa"/>
            <w:vAlign w:val="center"/>
          </w:tcPr>
          <w:p w14:paraId="755D0BB1" w14:textId="171100B4" w:rsidR="00095F25" w:rsidRDefault="00095F25" w:rsidP="00095F25">
            <w:pPr>
              <w:jc w:val="center"/>
            </w:pPr>
            <w:r>
              <w:t>O</w:t>
            </w:r>
          </w:p>
        </w:tc>
        <w:tc>
          <w:tcPr>
            <w:tcW w:w="1133" w:type="dxa"/>
            <w:vAlign w:val="center"/>
          </w:tcPr>
          <w:p w14:paraId="0D96771F" w14:textId="07F3D5BE" w:rsidR="00095F25" w:rsidRDefault="00095F25" w:rsidP="00095F25">
            <w:pPr>
              <w:jc w:val="center"/>
            </w:pPr>
            <w:r>
              <w:t>SE</w:t>
            </w:r>
          </w:p>
        </w:tc>
        <w:tc>
          <w:tcPr>
            <w:tcW w:w="1133" w:type="dxa"/>
            <w:vAlign w:val="center"/>
          </w:tcPr>
          <w:p w14:paraId="60649070" w14:textId="305B9705" w:rsidR="00095F25" w:rsidRDefault="00095F25" w:rsidP="00095F25">
            <w:pPr>
              <w:jc w:val="center"/>
            </w:pPr>
            <w:r>
              <w:t>S</w:t>
            </w:r>
          </w:p>
        </w:tc>
        <w:tc>
          <w:tcPr>
            <w:tcW w:w="1133" w:type="dxa"/>
            <w:vAlign w:val="center"/>
          </w:tcPr>
          <w:p w14:paraId="0D061107" w14:textId="300ECAD0" w:rsidR="00095F25" w:rsidRDefault="00095F25" w:rsidP="00095F25">
            <w:pPr>
              <w:jc w:val="center"/>
            </w:pPr>
            <w:r>
              <w:t>SW</w:t>
            </w:r>
          </w:p>
        </w:tc>
        <w:tc>
          <w:tcPr>
            <w:tcW w:w="1133" w:type="dxa"/>
            <w:vAlign w:val="center"/>
          </w:tcPr>
          <w:p w14:paraId="3CC7E214" w14:textId="428753FF" w:rsidR="00095F25" w:rsidRDefault="00095F25" w:rsidP="00095F25">
            <w:pPr>
              <w:jc w:val="center"/>
            </w:pPr>
            <w:r>
              <w:t>W</w:t>
            </w:r>
          </w:p>
        </w:tc>
        <w:tc>
          <w:tcPr>
            <w:tcW w:w="1133" w:type="dxa"/>
            <w:vAlign w:val="center"/>
          </w:tcPr>
          <w:p w14:paraId="5B38FD5E" w14:textId="2117A611" w:rsidR="00095F25" w:rsidRDefault="00095F25" w:rsidP="00095F25">
            <w:pPr>
              <w:jc w:val="center"/>
            </w:pPr>
            <w:r>
              <w:t>NW</w:t>
            </w:r>
          </w:p>
        </w:tc>
      </w:tr>
      <w:tr w:rsidR="00095F25" w14:paraId="060C7B5D" w14:textId="77777777" w:rsidTr="00095F25">
        <w:tc>
          <w:tcPr>
            <w:tcW w:w="1132" w:type="dxa"/>
            <w:vAlign w:val="center"/>
          </w:tcPr>
          <w:p w14:paraId="6CDA0717" w14:textId="56F7ECBA" w:rsidR="00095F25" w:rsidRDefault="00095F25" w:rsidP="00095F25">
            <w:pPr>
              <w:jc w:val="center"/>
            </w:pPr>
            <w:r>
              <w:t>0°</w:t>
            </w:r>
          </w:p>
        </w:tc>
        <w:tc>
          <w:tcPr>
            <w:tcW w:w="1132" w:type="dxa"/>
            <w:vAlign w:val="center"/>
          </w:tcPr>
          <w:p w14:paraId="034EFEE9" w14:textId="3C1AAEAB" w:rsidR="00095F25" w:rsidRDefault="00095F25" w:rsidP="00095F25">
            <w:pPr>
              <w:jc w:val="center"/>
            </w:pPr>
            <w:r>
              <w:t>45°</w:t>
            </w:r>
          </w:p>
        </w:tc>
        <w:tc>
          <w:tcPr>
            <w:tcW w:w="1133" w:type="dxa"/>
            <w:vAlign w:val="center"/>
          </w:tcPr>
          <w:p w14:paraId="0895E65F" w14:textId="2B299D93" w:rsidR="00095F25" w:rsidRDefault="00095F25" w:rsidP="00095F25">
            <w:pPr>
              <w:jc w:val="center"/>
            </w:pPr>
            <w:r>
              <w:t>90°</w:t>
            </w:r>
          </w:p>
        </w:tc>
        <w:tc>
          <w:tcPr>
            <w:tcW w:w="1133" w:type="dxa"/>
            <w:vAlign w:val="center"/>
          </w:tcPr>
          <w:p w14:paraId="79B3870E" w14:textId="36C2C655" w:rsidR="00095F25" w:rsidRDefault="00095F25" w:rsidP="00095F25">
            <w:pPr>
              <w:jc w:val="center"/>
            </w:pPr>
            <w:r>
              <w:t>135°</w:t>
            </w:r>
          </w:p>
        </w:tc>
        <w:tc>
          <w:tcPr>
            <w:tcW w:w="1133" w:type="dxa"/>
            <w:vAlign w:val="center"/>
          </w:tcPr>
          <w:p w14:paraId="77510BED" w14:textId="2A295DB4" w:rsidR="00095F25" w:rsidRDefault="00095F25" w:rsidP="00095F25">
            <w:pPr>
              <w:jc w:val="center"/>
            </w:pPr>
            <w:r>
              <w:t>180°</w:t>
            </w:r>
          </w:p>
        </w:tc>
        <w:tc>
          <w:tcPr>
            <w:tcW w:w="1133" w:type="dxa"/>
            <w:vAlign w:val="center"/>
          </w:tcPr>
          <w:p w14:paraId="7B436AB8" w14:textId="559D3EA6" w:rsidR="00095F25" w:rsidRDefault="00095F25" w:rsidP="00095F25">
            <w:pPr>
              <w:jc w:val="center"/>
            </w:pPr>
            <w:r>
              <w:t>225°</w:t>
            </w:r>
          </w:p>
        </w:tc>
        <w:tc>
          <w:tcPr>
            <w:tcW w:w="1133" w:type="dxa"/>
            <w:vAlign w:val="center"/>
          </w:tcPr>
          <w:p w14:paraId="64621D23" w14:textId="1868FE51" w:rsidR="00095F25" w:rsidRDefault="00095F25" w:rsidP="00095F25">
            <w:pPr>
              <w:jc w:val="center"/>
            </w:pPr>
            <w:r>
              <w:t>270°</w:t>
            </w:r>
          </w:p>
        </w:tc>
        <w:tc>
          <w:tcPr>
            <w:tcW w:w="1133" w:type="dxa"/>
            <w:vAlign w:val="center"/>
          </w:tcPr>
          <w:p w14:paraId="2304B124" w14:textId="2C49ABDB" w:rsidR="00095F25" w:rsidRDefault="00095F25" w:rsidP="00095F25">
            <w:pPr>
              <w:keepNext/>
              <w:jc w:val="center"/>
            </w:pPr>
            <w:r>
              <w:t>315°</w:t>
            </w:r>
          </w:p>
        </w:tc>
      </w:tr>
    </w:tbl>
    <w:p w14:paraId="1C0FF11F" w14:textId="7118ED7C" w:rsidR="00095F25" w:rsidRDefault="00095F25" w:rsidP="00095F25">
      <w:pPr>
        <w:pStyle w:val="Beschriftung"/>
        <w:jc w:val="center"/>
      </w:pPr>
      <w:r>
        <w:t xml:space="preserve">Tabelle </w:t>
      </w:r>
      <w:fldSimple w:instr=" SEQ Tabelle \* ARABIC ">
        <w:r>
          <w:rPr>
            <w:noProof/>
          </w:rPr>
          <w:t>2</w:t>
        </w:r>
      </w:fldSimple>
      <w:r>
        <w:t xml:space="preserve"> Winkelbeschreibung Sonnenazimut [6]</w:t>
      </w:r>
    </w:p>
    <w:p w14:paraId="783658C5" w14:textId="77777777" w:rsidR="003A08F4" w:rsidRDefault="003A08F4" w:rsidP="003A08F4">
      <w:pPr>
        <w:keepNext/>
        <w:jc w:val="center"/>
      </w:pPr>
      <w:r w:rsidRPr="003A08F4">
        <w:rPr>
          <w:noProof/>
        </w:rPr>
        <w:drawing>
          <wp:inline distT="0" distB="0" distL="0" distR="0" wp14:anchorId="4CAD6546" wp14:editId="0B09306B">
            <wp:extent cx="3048000" cy="2514600"/>
            <wp:effectExtent l="0" t="0" r="0" b="0"/>
            <wp:docPr id="997757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57814" name=""/>
                    <pic:cNvPicPr/>
                  </pic:nvPicPr>
                  <pic:blipFill>
                    <a:blip r:embed="rId11"/>
                    <a:stretch>
                      <a:fillRect/>
                    </a:stretch>
                  </pic:blipFill>
                  <pic:spPr>
                    <a:xfrm>
                      <a:off x="0" y="0"/>
                      <a:ext cx="3050761" cy="2516878"/>
                    </a:xfrm>
                    <a:prstGeom prst="rect">
                      <a:avLst/>
                    </a:prstGeom>
                  </pic:spPr>
                </pic:pic>
              </a:graphicData>
            </a:graphic>
          </wp:inline>
        </w:drawing>
      </w:r>
    </w:p>
    <w:p w14:paraId="2B050CC3" w14:textId="098B1357" w:rsidR="00095F25" w:rsidRPr="00095F25" w:rsidRDefault="003A08F4" w:rsidP="003A08F4">
      <w:pPr>
        <w:pStyle w:val="Beschriftung"/>
        <w:jc w:val="center"/>
      </w:pPr>
      <w:r>
        <w:t xml:space="preserve">Abbildung </w:t>
      </w:r>
      <w:fldSimple w:instr=" SEQ Abbildung \* ARABIC ">
        <w:r w:rsidR="009853BA">
          <w:rPr>
            <w:noProof/>
          </w:rPr>
          <w:t>3</w:t>
        </w:r>
      </w:fldSimple>
      <w:r>
        <w:t xml:space="preserve"> Winkelbezeichnung [6]</w:t>
      </w:r>
    </w:p>
    <w:p w14:paraId="12441915" w14:textId="57BDB6CC" w:rsidR="00095F25" w:rsidRDefault="003A08F4" w:rsidP="007D0A88">
      <w:r>
        <w:t xml:space="preserve">Die Sonnenhöhe und der Sonnenazimut lassen sich über die Uhrzeit und Datum bestimmen. Dabei es auch wichtig die Sonnendeklination mit einzubeziehen. Sie beschreibt die Neigung zu der Sonne. Die Erde wendet im Jahresverlauf einmal die nördliche und einmal die südliche Halbkugel zu. Um diese zu </w:t>
      </w:r>
      <w:proofErr w:type="gramStart"/>
      <w:r>
        <w:t>bestimmen</w:t>
      </w:r>
      <w:proofErr w:type="gramEnd"/>
      <w:r>
        <w:t xml:space="preserve"> wird </w:t>
      </w:r>
      <w:r w:rsidR="001F17ED">
        <w:t>zuerst</w:t>
      </w:r>
      <w:r>
        <w:t xml:space="preserve"> </w:t>
      </w:r>
      <w:r w:rsidR="001F17ED">
        <w:t xml:space="preserve">Jahreswinkel </w:t>
      </w:r>
      <w:proofErr w:type="gramStart"/>
      <w:r w:rsidR="001F17ED">
        <w:t>berechnet</w:t>
      </w:r>
      <w:r w:rsidR="00A81328">
        <w:t>[</w:t>
      </w:r>
      <w:proofErr w:type="gramEnd"/>
      <w:r w:rsidR="00A81328">
        <w:t xml:space="preserve">6, </w:t>
      </w:r>
      <w:r w:rsidR="006C2C73">
        <w:t>S.83</w:t>
      </w:r>
      <w:r w:rsidR="00A81328">
        <w:t>]</w:t>
      </w:r>
      <w:r w:rsidR="001F17ED">
        <w:t>.</w:t>
      </w:r>
    </w:p>
    <w:p w14:paraId="32A3C6EB" w14:textId="2BDFC4F6" w:rsidR="001F17ED" w:rsidRPr="001F17ED" w:rsidRDefault="00000000" w:rsidP="007D0A88">
      <w:pPr>
        <w:rPr>
          <w:rFonts w:eastAsiaTheme="minorEastAsia"/>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=360°*</m:t>
          </m:r>
          <m:f>
            <m:fPr>
              <m:ctrlPr>
                <w:rPr>
                  <w:rFonts w:ascii="Cambria Math" w:hAnsi="Cambria Math"/>
                  <w:i/>
                </w:rPr>
              </m:ctrlPr>
            </m:fPr>
            <m:num>
              <m:r>
                <w:rPr>
                  <w:rFonts w:ascii="Cambria Math" w:hAnsi="Cambria Math"/>
                </w:rPr>
                <m:t>Tag des Jahres</m:t>
              </m:r>
            </m:num>
            <m:den>
              <m:r>
                <w:rPr>
                  <w:rFonts w:ascii="Cambria Math" w:hAnsi="Cambria Math"/>
                </w:rPr>
                <m:t>Zahl der Tage im Jahr</m:t>
              </m:r>
            </m:den>
          </m:f>
        </m:oMath>
      </m:oMathPara>
    </w:p>
    <w:p w14:paraId="032F8AA7" w14:textId="4F369BA1" w:rsidR="001F17ED" w:rsidRDefault="001F17ED" w:rsidP="007D0A88">
      <w:pPr>
        <w:rPr>
          <w:rFonts w:eastAsiaTheme="minorEastAsia"/>
        </w:rPr>
      </w:pPr>
      <w:r>
        <w:rPr>
          <w:rFonts w:eastAsiaTheme="minorEastAsia"/>
        </w:rPr>
        <w:t>Für die Sonnendeklination eingesetzt in:</w:t>
      </w:r>
    </w:p>
    <w:p w14:paraId="1CCD635C" w14:textId="0FCF4385" w:rsidR="001F17ED" w:rsidRDefault="001F17ED" w:rsidP="007D0A88">
      <m:oMathPara>
        <m:oMath>
          <m:r>
            <w:rPr>
              <w:rFonts w:ascii="Cambria Math" w:hAnsi="Cambria Math"/>
            </w:rPr>
            <m:t>δ=[0,3948-23,2559*</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+9,1°)-0,3915*</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+5,4°</m:t>
                      </m:r>
                    </m:e>
                  </m:d>
                </m:e>
              </m:func>
              <m:r>
                <w:rPr>
                  <w:rFonts w:ascii="Cambria Math" w:hAnsi="Cambria Math"/>
                </w:rPr>
                <m:t>-0,1764*</m:t>
              </m:r>
              <m:r>
                <m:rPr>
                  <m:sty m:val="p"/>
                </m:rPr>
                <w:rPr>
                  <w:rFonts w:ascii="Cambria Math" w:hAnsi="Cambria Math"/>
                </w:rPr>
                <m:t>cos⁡</m:t>
              </m:r>
              <m:r>
                <w:rPr>
                  <w:rFonts w:ascii="Cambria Math" w:hAnsi="Cambria Math"/>
                </w:rPr>
                <m:t>(3*</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+25°)]</m:t>
              </m:r>
            </m:e>
          </m:func>
        </m:oMath>
      </m:oMathPara>
    </w:p>
    <w:p w14:paraId="0ECA356C" w14:textId="717B5E92" w:rsidR="00095F25" w:rsidRDefault="00095F25" w:rsidP="007D0A88"/>
    <w:p w14:paraId="7D98DB4B" w14:textId="77777777" w:rsidR="001F17ED" w:rsidRDefault="001F17ED" w:rsidP="007D0A88"/>
    <w:p w14:paraId="300782B7" w14:textId="77777777" w:rsidR="001F17ED" w:rsidRDefault="001F17ED" w:rsidP="007D0A88"/>
    <w:p w14:paraId="59EA3A04" w14:textId="066DAFF6" w:rsidR="001F17ED" w:rsidRDefault="001F17ED" w:rsidP="007D0A88">
      <w:r>
        <w:t>Im nächsten Schritt wird durch die Zeitgleichung und der mittleren Ortszeit die Wahre Ortszeit bestimmt</w:t>
      </w:r>
      <w:r w:rsidR="00497BDF">
        <w:t>.</w:t>
      </w:r>
    </w:p>
    <w:p w14:paraId="0FC042FE" w14:textId="77777777" w:rsidR="001F17ED" w:rsidRDefault="001F17ED" w:rsidP="007D0A88"/>
    <w:p w14:paraId="10A4F2A9" w14:textId="49A13CB6" w:rsidR="001F17ED" w:rsidRDefault="00497BDF" w:rsidP="007D0A88">
      <w:r>
        <w:t>Zeitgleichung:</w:t>
      </w:r>
    </w:p>
    <w:p w14:paraId="3F325780" w14:textId="77777777" w:rsidR="00497BDF" w:rsidRDefault="00497BDF" w:rsidP="007D0A88"/>
    <w:p w14:paraId="6E16B031" w14:textId="03DF63CD" w:rsidR="00497BDF" w:rsidRDefault="00497BDF" w:rsidP="007D0A88">
      <m:oMathPara>
        <m:oMath>
          <m:r>
            <w:rPr>
              <w:rFonts w:ascii="Cambria Math" w:hAnsi="Cambria Math"/>
            </w:rPr>
            <m:t>Zgl</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0,0066+7,3525*</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+85,9°</m:t>
                      </m:r>
                    </m:e>
                  </m:d>
                </m:e>
              </m:func>
              <m:r>
                <w:rPr>
                  <w:rFonts w:ascii="Cambria Math" w:hAnsi="Cambria Math"/>
                </w:rPr>
                <m:t>+9,9359*</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+108,9°</m:t>
                      </m:r>
                    </m:e>
                  </m:d>
                </m:e>
              </m:func>
              <m:r>
                <w:rPr>
                  <w:rFonts w:ascii="Cambria Math" w:hAnsi="Cambria Math"/>
                </w:rPr>
                <m:t>+0,3387*</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+105,2°</m:t>
                      </m:r>
                    </m:e>
                  </m:d>
                </m:e>
              </m:func>
            </m:e>
          </m:d>
          <m:r>
            <w:rPr>
              <w:rFonts w:ascii="Cambria Math" w:hAnsi="Cambria Math"/>
            </w:rPr>
            <m:t xml:space="preserve"> min</m:t>
          </m:r>
        </m:oMath>
      </m:oMathPara>
    </w:p>
    <w:p w14:paraId="2CDDD3C8" w14:textId="77777777" w:rsidR="00497BDF" w:rsidRDefault="00497BDF" w:rsidP="007D0A88"/>
    <w:p w14:paraId="0BAF8C2D" w14:textId="55655E41" w:rsidR="001F17ED" w:rsidRDefault="00497BDF" w:rsidP="007D0A88">
      <w:r>
        <w:t>Mittlere Ortszeit:</w:t>
      </w:r>
    </w:p>
    <w:p w14:paraId="71751B44" w14:textId="77777777" w:rsidR="00497BDF" w:rsidRPr="00497BDF" w:rsidRDefault="00497BDF" w:rsidP="007D0A88">
      <w:pPr>
        <w:rPr>
          <w:rFonts w:eastAsiaTheme="minorEastAsia"/>
        </w:rPr>
      </w:pPr>
    </w:p>
    <w:p w14:paraId="67DE4762" w14:textId="18F7B205" w:rsidR="00497BDF" w:rsidRDefault="00497BDF" w:rsidP="007D0A88">
      <m:oMathPara>
        <m:oMath>
          <m:r>
            <w:rPr>
              <w:rFonts w:ascii="Cambria Math" w:hAnsi="Cambria Math"/>
            </w:rPr>
            <m:t>MOZ=Lokale Zeit</m:t>
          </m:r>
          <m:d>
            <m:dPr>
              <m:ctrlPr>
                <w:rPr>
                  <w:rFonts w:ascii="Cambria Math" w:hAnsi="Cambria Math"/>
                  <w:i/>
                </w:rPr>
              </m:ctrlPr>
            </m:dPr>
            <m:e>
              <m:r>
                <w:rPr>
                  <w:rFonts w:ascii="Cambria Math" w:hAnsi="Cambria Math"/>
                </w:rPr>
                <m:t>LZ</m:t>
              </m:r>
            </m:e>
          </m:d>
          <m:r>
            <w:rPr>
              <w:rFonts w:ascii="Cambria Math" w:eastAsiaTheme="minorEastAsia" w:hAnsi="Cambria Math"/>
            </w:rPr>
            <m:t>-Zeitzone+4*Längengrad</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r>
            <m:rPr>
              <m:sty m:val="p"/>
            </m:rPr>
            <w:rPr>
              <w:rFonts w:ascii="Cambria Math" w:eastAsiaTheme="minorEastAsia" w:hAnsi="Cambria Math"/>
            </w:rPr>
            <m:t>min/°</m:t>
          </m:r>
        </m:oMath>
      </m:oMathPara>
    </w:p>
    <w:p w14:paraId="3AD6E0B6" w14:textId="77777777" w:rsidR="00497BDF" w:rsidRDefault="00497BDF" w:rsidP="007D0A88"/>
    <w:p w14:paraId="66CCF39C" w14:textId="3389A5D7" w:rsidR="001F17ED" w:rsidRDefault="00497BDF" w:rsidP="007D0A88">
      <w:r>
        <w:t>Wahre Ortszeit:</w:t>
      </w:r>
    </w:p>
    <w:p w14:paraId="11F0C0CA" w14:textId="77777777" w:rsidR="00497BDF" w:rsidRPr="00497BDF" w:rsidRDefault="00497BDF" w:rsidP="007D0A88">
      <w:pPr>
        <w:rPr>
          <w:rFonts w:eastAsiaTheme="minorEastAsia"/>
        </w:rPr>
      </w:pPr>
    </w:p>
    <w:p w14:paraId="2E61EBCB" w14:textId="34A3FB69" w:rsidR="001F17ED" w:rsidRPr="003108DE" w:rsidRDefault="00497BDF" w:rsidP="007D0A88">
      <w:pPr>
        <w:rPr>
          <w:rFonts w:eastAsiaTheme="minorEastAsia"/>
        </w:rPr>
      </w:pPr>
      <m:oMathPara>
        <m:oMath>
          <m:r>
            <w:rPr>
              <w:rFonts w:ascii="Cambria Math" w:hAnsi="Cambria Math"/>
            </w:rPr>
            <m:t>MOZ=MOZ+Zgl</m:t>
          </m:r>
        </m:oMath>
      </m:oMathPara>
    </w:p>
    <w:p w14:paraId="74F287CB" w14:textId="77777777" w:rsidR="003108DE" w:rsidRDefault="003108DE" w:rsidP="007D0A88">
      <w:pPr>
        <w:rPr>
          <w:rFonts w:eastAsiaTheme="minorEastAsia"/>
        </w:rPr>
      </w:pPr>
    </w:p>
    <w:p w14:paraId="3599EC46" w14:textId="62BB4ADD" w:rsidR="003108DE" w:rsidRDefault="003108DE" w:rsidP="007D0A88">
      <w:pPr>
        <w:rPr>
          <w:rFonts w:eastAsiaTheme="minorEastAsia"/>
        </w:rPr>
      </w:pPr>
      <w:r>
        <w:rPr>
          <w:rFonts w:eastAsiaTheme="minorEastAsia"/>
        </w:rPr>
        <w:t>Durch die Wahre Ortszeit kann im weiteren Verlauf der Stundenwinkel ermittelt werden.</w:t>
      </w:r>
    </w:p>
    <w:p w14:paraId="4E85EC52" w14:textId="77777777" w:rsidR="003108DE" w:rsidRDefault="003108DE" w:rsidP="007D0A88">
      <w:pPr>
        <w:rPr>
          <w:rFonts w:eastAsiaTheme="minorEastAsia"/>
        </w:rPr>
      </w:pPr>
    </w:p>
    <w:p w14:paraId="4BD4B2E3" w14:textId="062451BD" w:rsidR="003108DE" w:rsidRPr="00497BDF" w:rsidRDefault="003108DE" w:rsidP="007D0A88">
      <w:pPr>
        <w:rPr>
          <w:rFonts w:eastAsiaTheme="minorEastAsia"/>
        </w:rPr>
      </w:pPr>
      <m:oMathPara>
        <m:oMath>
          <m: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12.00</m:t>
              </m:r>
              <m:r>
                <w:rPr>
                  <w:rFonts w:ascii="Cambria Math" w:eastAsiaTheme="minorEastAsia" w:hAnsi="Cambria Math"/>
                </w:rPr>
                <m:t>h-WOZ</m:t>
              </m:r>
            </m:e>
          </m:d>
          <m:r>
            <w:rPr>
              <w:rFonts w:ascii="Cambria Math" w:eastAsiaTheme="minorEastAsia" w:hAnsi="Cambria Math"/>
            </w:rPr>
            <m:t>*15°/</m:t>
          </m:r>
          <m:r>
            <w:rPr>
              <w:rFonts w:ascii="Cambria Math" w:eastAsiaTheme="minorEastAsia" w:hAnsi="Cambria Math"/>
            </w:rPr>
            <m:t>h</m:t>
          </m:r>
        </m:oMath>
      </m:oMathPara>
    </w:p>
    <w:p w14:paraId="6768C4F7" w14:textId="77777777" w:rsidR="003108DE" w:rsidRDefault="003108DE" w:rsidP="007D0A88">
      <w:pPr>
        <w:rPr>
          <w:rFonts w:eastAsiaTheme="minorEastAsia"/>
        </w:rPr>
      </w:pPr>
    </w:p>
    <w:p w14:paraId="71EA18DA" w14:textId="097A7663" w:rsidR="00497BDF" w:rsidRDefault="003108DE" w:rsidP="007D0A88">
      <w:pPr>
        <w:rPr>
          <w:rFonts w:eastAsiaTheme="minorEastAsia"/>
        </w:rPr>
      </w:pPr>
      <w:r>
        <w:rPr>
          <w:rFonts w:eastAsiaTheme="minorEastAsia"/>
        </w:rPr>
        <w:t>Anhang der vorhergingen Berechnungen und de</w:t>
      </w:r>
      <w:r w:rsidR="00CF0BF8">
        <w:rPr>
          <w:rFonts w:eastAsiaTheme="minorEastAsia"/>
        </w:rPr>
        <w:t xml:space="preserve">n Breitengraden </w:t>
      </w:r>
      <m:oMath>
        <m:r>
          <w:rPr>
            <w:rFonts w:ascii="Cambria Math" w:eastAsiaTheme="minorEastAsia" w:hAnsi="Cambria Math"/>
          </w:rPr>
          <m:t>φ</m:t>
        </m:r>
      </m:oMath>
      <w:r>
        <w:rPr>
          <w:rFonts w:eastAsiaTheme="minorEastAsia"/>
        </w:rPr>
        <w:t xml:space="preserve"> wird die Sonnenhöhe und der Sonnenazimut bestimmt.</w:t>
      </w:r>
    </w:p>
    <w:p w14:paraId="243666D2" w14:textId="77777777" w:rsidR="003108DE" w:rsidRDefault="003108DE" w:rsidP="007D0A88">
      <w:pPr>
        <w:rPr>
          <w:rFonts w:eastAsiaTheme="minorEastAsia"/>
        </w:rPr>
      </w:pPr>
    </w:p>
    <w:p w14:paraId="3D846461" w14:textId="78E8C1A2" w:rsidR="003108DE" w:rsidRPr="003108DE" w:rsidRDefault="00000000" w:rsidP="007D0A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r>
            <m:rPr>
              <m:sty m:val="p"/>
            </m:rPr>
            <w:rPr>
              <w:rFonts w:ascii="Cambria Math" w:eastAsiaTheme="minorEastAsia" w:hAnsi="Cambria Math"/>
            </w:rPr>
            <m:t>arcsin⁡</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ω</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oMath>
      </m:oMathPara>
    </w:p>
    <w:p w14:paraId="4354EAEF" w14:textId="77777777" w:rsidR="003108DE" w:rsidRDefault="003108DE" w:rsidP="007D0A88">
      <w:pPr>
        <w:rPr>
          <w:rFonts w:eastAsiaTheme="minorEastAsia"/>
        </w:rPr>
      </w:pPr>
    </w:p>
    <w:p w14:paraId="5B74D0CC" w14:textId="53F94572" w:rsidR="003108DE" w:rsidRPr="00CF0BF8" w:rsidRDefault="00000000" w:rsidP="007D0A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=180°-arccos</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den>
          </m:f>
          <m:r>
            <w:rPr>
              <w:rFonts w:ascii="Cambria Math" w:eastAsiaTheme="minorEastAsia" w:hAnsi="Cambria Math"/>
            </w:rPr>
            <m:t xml:space="preserve">für WOZ≤12:00 </m:t>
          </m:r>
          <m:r>
            <w:rPr>
              <w:rFonts w:ascii="Cambria Math" w:eastAsiaTheme="minorEastAsia" w:hAnsi="Cambria Math"/>
            </w:rPr>
            <m:t xml:space="preserve">h </m:t>
          </m:r>
        </m:oMath>
      </m:oMathPara>
    </w:p>
    <w:p w14:paraId="7BFD7C10" w14:textId="30E7EAA3" w:rsidR="00CF0BF8" w:rsidRPr="00CF0BF8" w:rsidRDefault="00000000" w:rsidP="00CF0BF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=180°+arccos</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den>
          </m:f>
          <m:r>
            <w:rPr>
              <w:rFonts w:ascii="Cambria Math" w:eastAsiaTheme="minorEastAsia" w:hAnsi="Cambria Math"/>
            </w:rPr>
            <m:t xml:space="preserve">für WOZ&gt;12:00 </m:t>
          </m:r>
          <m:r>
            <w:rPr>
              <w:rFonts w:ascii="Cambria Math" w:eastAsiaTheme="minorEastAsia" w:hAnsi="Cambria Math"/>
            </w:rPr>
            <m:t xml:space="preserve">h </m:t>
          </m:r>
        </m:oMath>
      </m:oMathPara>
    </w:p>
    <w:p w14:paraId="2316D3C6" w14:textId="77777777" w:rsidR="00CF0BF8" w:rsidRDefault="00CF0BF8" w:rsidP="007D0A88">
      <w:pPr>
        <w:rPr>
          <w:rFonts w:eastAsiaTheme="minorEastAsia"/>
        </w:rPr>
      </w:pPr>
    </w:p>
    <w:p w14:paraId="6F7767C4" w14:textId="2E28BBE4" w:rsidR="00497BDF" w:rsidRDefault="00CF0BF8" w:rsidP="007D0A88">
      <w:pPr>
        <w:rPr>
          <w:rFonts w:eastAsiaTheme="minorEastAsia"/>
        </w:rPr>
      </w:pPr>
      <w:r>
        <w:rPr>
          <w:rFonts w:eastAsiaTheme="minorEastAsia"/>
        </w:rPr>
        <w:t xml:space="preserve">Letztendlich wird der Einfallswinkel berechnet, die den Winkel beschreibt, die zwischen einem Vektor </w:t>
      </w:r>
      <w:r w:rsidRPr="00CF0BF8">
        <w:rPr>
          <w:rFonts w:eastAsiaTheme="minorEastAsia"/>
          <w:b/>
          <w:bCs/>
        </w:rPr>
        <w:t>s</w:t>
      </w:r>
      <w:r>
        <w:rPr>
          <w:rFonts w:eastAsiaTheme="minorEastAsia"/>
          <w:b/>
          <w:bCs/>
        </w:rPr>
        <w:t xml:space="preserve"> </w:t>
      </w:r>
      <w:r>
        <w:rPr>
          <w:rFonts w:eastAsiaTheme="minorEastAsia"/>
        </w:rPr>
        <w:t xml:space="preserve">in Sonnenrichtung und dem Normalvektor </w:t>
      </w:r>
      <w:r w:rsidRPr="00CF0BF8">
        <w:rPr>
          <w:rFonts w:eastAsiaTheme="minorEastAsia"/>
          <w:b/>
          <w:bCs/>
        </w:rPr>
        <w:t>n</w:t>
      </w:r>
      <w:r>
        <w:rPr>
          <w:rFonts w:eastAsiaTheme="minorEastAsia"/>
          <w:b/>
          <w:bCs/>
        </w:rPr>
        <w:t xml:space="preserve"> </w:t>
      </w:r>
      <w:r>
        <w:rPr>
          <w:rFonts w:eastAsiaTheme="minorEastAsia"/>
        </w:rPr>
        <w:t>der</w:t>
      </w:r>
      <w:r w:rsidR="009853BA">
        <w:rPr>
          <w:rFonts w:eastAsiaTheme="minorEastAsia"/>
        </w:rPr>
        <w:t xml:space="preserve"> geneigten Ebene</w:t>
      </w:r>
      <w:r>
        <w:rPr>
          <w:rFonts w:eastAsiaTheme="minorEastAsia"/>
        </w:rPr>
        <w:t xml:space="preserve"> befindet.</w:t>
      </w:r>
    </w:p>
    <w:p w14:paraId="49950789" w14:textId="77777777" w:rsidR="009853BA" w:rsidRDefault="009853BA" w:rsidP="007D0A88">
      <w:pPr>
        <w:rPr>
          <w:rFonts w:eastAsiaTheme="minorEastAsia"/>
        </w:rPr>
      </w:pPr>
    </w:p>
    <w:p w14:paraId="7130DED2" w14:textId="5F70EBFE" w:rsidR="009853BA" w:rsidRPr="009853BA" w:rsidRDefault="00000000" w:rsidP="007D0A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gen</m:t>
              </m:r>
            </m:sub>
          </m:sSub>
          <m:r>
            <w:rPr>
              <w:rFonts w:ascii="Cambria Math" w:eastAsiaTheme="minorEastAsia" w:hAnsi="Cambria Math"/>
            </w:rPr>
            <m:t>=</m:t>
          </m:r>
          <m:r>
            <m:rPr>
              <m:sty m:val="p"/>
            </m:rPr>
            <w:rPr>
              <w:rFonts w:ascii="Cambria Math" w:eastAsiaTheme="minorEastAsia" w:hAnsi="Cambria Math"/>
            </w:rPr>
            <m:t>arccos⁡</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E</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e>
                  </m:func>
                </m:e>
              </m:func>
            </m:e>
          </m:func>
        </m:oMath>
      </m:oMathPara>
    </w:p>
    <w:p w14:paraId="337B4E36" w14:textId="77777777" w:rsidR="009853BA" w:rsidRDefault="009853BA" w:rsidP="007D0A88">
      <w:pPr>
        <w:rPr>
          <w:rFonts w:eastAsiaTheme="minorEastAsia"/>
        </w:rPr>
      </w:pPr>
    </w:p>
    <w:p w14:paraId="4DEA402C" w14:textId="77777777" w:rsidR="009853BA" w:rsidRDefault="009853BA" w:rsidP="009853BA">
      <w:pPr>
        <w:keepNext/>
        <w:jc w:val="center"/>
      </w:pPr>
      <w:r w:rsidRPr="009853BA">
        <w:rPr>
          <w:rFonts w:eastAsiaTheme="minorEastAsia"/>
          <w:noProof/>
        </w:rPr>
        <w:drawing>
          <wp:inline distT="0" distB="0" distL="0" distR="0" wp14:anchorId="37DD9CD1" wp14:editId="4BD5D00C">
            <wp:extent cx="3733800" cy="1663700"/>
            <wp:effectExtent l="0" t="0" r="0" b="0"/>
            <wp:docPr id="13315168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6817" name=""/>
                    <pic:cNvPicPr/>
                  </pic:nvPicPr>
                  <pic:blipFill>
                    <a:blip r:embed="rId12"/>
                    <a:stretch>
                      <a:fillRect/>
                    </a:stretch>
                  </pic:blipFill>
                  <pic:spPr>
                    <a:xfrm>
                      <a:off x="0" y="0"/>
                      <a:ext cx="3733800" cy="1663700"/>
                    </a:xfrm>
                    <a:prstGeom prst="rect">
                      <a:avLst/>
                    </a:prstGeom>
                  </pic:spPr>
                </pic:pic>
              </a:graphicData>
            </a:graphic>
          </wp:inline>
        </w:drawing>
      </w:r>
    </w:p>
    <w:p w14:paraId="303FEF35" w14:textId="6955B64D" w:rsidR="009853BA" w:rsidRDefault="009853BA" w:rsidP="009853BA">
      <w:pPr>
        <w:pStyle w:val="Beschriftung"/>
        <w:jc w:val="center"/>
        <w:rPr>
          <w:rFonts w:eastAsiaTheme="minorEastAsia"/>
        </w:rPr>
      </w:pPr>
      <w:r>
        <w:t xml:space="preserve">Abbildung </w:t>
      </w:r>
      <w:fldSimple w:instr=" SEQ Abbildung \* ARABIC ">
        <w:r>
          <w:rPr>
            <w:noProof/>
          </w:rPr>
          <w:t>4</w:t>
        </w:r>
      </w:fldSimple>
      <w:r>
        <w:t xml:space="preserve"> Winkelbezeichnung des Sonneneinfallswinkels</w:t>
      </w:r>
    </w:p>
    <w:p w14:paraId="6F23A1A3" w14:textId="77777777" w:rsidR="004872DB" w:rsidRDefault="004872DB" w:rsidP="007D0A88">
      <w:pPr>
        <w:rPr>
          <w:rFonts w:eastAsiaTheme="minorEastAsia"/>
        </w:rPr>
      </w:pPr>
    </w:p>
    <w:p w14:paraId="33587809" w14:textId="185A2B97" w:rsidR="004872DB" w:rsidRPr="00CF0BF8" w:rsidRDefault="004872DB" w:rsidP="007D0A88">
      <w:pPr>
        <w:rPr>
          <w:rFonts w:eastAsiaTheme="minorEastAsia"/>
        </w:rPr>
      </w:pPr>
      <w:r>
        <w:rPr>
          <w:rFonts w:eastAsiaTheme="minorEastAsia"/>
        </w:rPr>
        <w:t>Um die Bestrahlungsstärke zu bestimmen, wird vorerst auf die horizontale Bestrahlungsstärke eingegangen, da mit dem horizontalen Werten die Bestrahlungsstärke für die geneigte Ebene berechnet werden können.</w:t>
      </w:r>
    </w:p>
    <w:p w14:paraId="28C9186A" w14:textId="67430150" w:rsidR="007D0A88" w:rsidRDefault="007D0A88" w:rsidP="007D0A88">
      <w:r>
        <w:t>Die gesamte Bestrahlungsstärke</w:t>
      </w:r>
      <w:r w:rsidR="004A5028">
        <w:t xml:space="preserve"> </w:t>
      </w:r>
      <m:oMath>
        <m:sSub>
          <m:sSubPr>
            <m:ctrlPr>
              <w:rPr>
                <w:rFonts w:ascii="Cambria Math" w:hAnsi="Cambria Math"/>
                <w:i/>
              </w:rPr>
            </m:ctrlPr>
          </m:sSubPr>
          <m:e>
            <m:r>
              <w:rPr>
                <w:rFonts w:ascii="Cambria Math" w:hAnsi="Cambria Math"/>
              </w:rPr>
              <m:t>E</m:t>
            </m:r>
          </m:e>
          <m:sub>
            <m:r>
              <w:rPr>
                <w:rFonts w:ascii="Cambria Math" w:hAnsi="Cambria Math"/>
              </w:rPr>
              <m:t>G,hor</m:t>
            </m:r>
          </m:sub>
        </m:sSub>
      </m:oMath>
      <w:r>
        <w:t xml:space="preserve"> unterteilt sich auf der horizontalen Erdoberfläche aus der direkten Bestrahlungsstärke</w:t>
      </w:r>
      <w:r w:rsidR="004A5028">
        <w:t xml:space="preserve"> </w:t>
      </w:r>
      <m:oMath>
        <m:sSub>
          <m:sSubPr>
            <m:ctrlPr>
              <w:rPr>
                <w:rFonts w:ascii="Cambria Math" w:hAnsi="Cambria Math"/>
                <w:i/>
              </w:rPr>
            </m:ctrlPr>
          </m:sSubPr>
          <m:e>
            <m:r>
              <w:rPr>
                <w:rFonts w:ascii="Cambria Math" w:hAnsi="Cambria Math"/>
              </w:rPr>
              <m:t>E</m:t>
            </m:r>
          </m:e>
          <m:sub>
            <m:r>
              <w:rPr>
                <w:rFonts w:ascii="Cambria Math" w:hAnsi="Cambria Math"/>
              </w:rPr>
              <m:t>dir,hor</m:t>
            </m:r>
          </m:sub>
        </m:sSub>
      </m:oMath>
      <w:r>
        <w:t xml:space="preserve"> und der diffusen Bestrahlungsstärke</w:t>
      </w:r>
      <w:r w:rsidR="004A5028">
        <w:t xml:space="preserve"> </w:t>
      </w:r>
      <m:oMath>
        <m:sSub>
          <m:sSubPr>
            <m:ctrlPr>
              <w:rPr>
                <w:rFonts w:ascii="Cambria Math" w:hAnsi="Cambria Math"/>
                <w:i/>
              </w:rPr>
            </m:ctrlPr>
          </m:sSubPr>
          <m:e>
            <m:r>
              <w:rPr>
                <w:rFonts w:ascii="Cambria Math" w:hAnsi="Cambria Math"/>
              </w:rPr>
              <m:t>E</m:t>
            </m:r>
          </m:e>
          <m:sub>
            <m:r>
              <w:rPr>
                <w:rFonts w:ascii="Cambria Math" w:hAnsi="Cambria Math"/>
              </w:rPr>
              <m:t>diff,hor</m:t>
            </m:r>
          </m:sub>
        </m:sSub>
      </m:oMath>
      <w:r w:rsidR="000760CE">
        <w:t xml:space="preserve"> [6, S. 79]</w:t>
      </w:r>
      <w:r w:rsidR="00241958">
        <w:t>:</w:t>
      </w:r>
    </w:p>
    <w:p w14:paraId="1D2B0AB7" w14:textId="77777777" w:rsidR="007D0A88" w:rsidRDefault="007D0A88" w:rsidP="007D0A88"/>
    <w:p w14:paraId="286CCDFB" w14:textId="77777777" w:rsidR="004F1E17" w:rsidRPr="004F1E17" w:rsidRDefault="00000000" w:rsidP="007D0A88">
      <w:pPr>
        <w:jc w:val="cente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G,hor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dir,hor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diff,hor</m:t>
              </m:r>
            </m:sub>
          </m:sSub>
        </m:oMath>
      </m:oMathPara>
    </w:p>
    <w:p w14:paraId="154B0483" w14:textId="77777777" w:rsidR="004F1E17" w:rsidRDefault="004F1E17" w:rsidP="004F1E17">
      <w:pPr>
        <w:jc w:val="left"/>
        <w:rPr>
          <w:rFonts w:eastAsiaTheme="minorEastAsia"/>
        </w:rPr>
      </w:pPr>
    </w:p>
    <w:p w14:paraId="72CD1879" w14:textId="1CADBD53" w:rsidR="004F1E17" w:rsidRDefault="004F1E17" w:rsidP="000760CE">
      <w:pPr>
        <w:rPr>
          <w:rFonts w:eastAsiaTheme="minorEastAsia"/>
        </w:rPr>
      </w:pPr>
      <w:r>
        <w:rPr>
          <w:rFonts w:eastAsiaTheme="minorEastAsia"/>
        </w:rPr>
        <w:t xml:space="preserve">Wie in der Abbildung </w:t>
      </w:r>
      <w:r w:rsidR="00BA6F47">
        <w:rPr>
          <w:rFonts w:eastAsiaTheme="minorEastAsia"/>
        </w:rPr>
        <w:t>3</w:t>
      </w:r>
      <w:r>
        <w:rPr>
          <w:rFonts w:eastAsiaTheme="minorEastAsia"/>
        </w:rPr>
        <w:t xml:space="preserve"> zu </w:t>
      </w:r>
      <w:r w:rsidR="006737BA">
        <w:rPr>
          <w:rFonts w:eastAsiaTheme="minorEastAsia"/>
        </w:rPr>
        <w:t>sehen,</w:t>
      </w:r>
      <w:r>
        <w:rPr>
          <w:rFonts w:eastAsiaTheme="minorEastAsia"/>
        </w:rPr>
        <w:t xml:space="preserve"> entstehen durch Hindernisse</w:t>
      </w:r>
      <w:r w:rsidR="00BA6F47">
        <w:rPr>
          <w:rFonts w:eastAsiaTheme="minorEastAsia"/>
        </w:rPr>
        <w:t xml:space="preserve"> in der </w:t>
      </w:r>
      <w:r w:rsidR="000760CE">
        <w:rPr>
          <w:rFonts w:eastAsiaTheme="minorEastAsia"/>
        </w:rPr>
        <w:t>Atmosphäre</w:t>
      </w:r>
      <w:r>
        <w:rPr>
          <w:rFonts w:eastAsiaTheme="minorEastAsia"/>
        </w:rPr>
        <w:t xml:space="preserve"> Streuungen der Strahlungen, die dazu führen, dass am Ende neben der direkten Strahlung auch eine diffuse Strahlung entsteht</w:t>
      </w:r>
      <w:r w:rsidR="00BA6F47">
        <w:rPr>
          <w:rFonts w:eastAsiaTheme="minorEastAsia"/>
        </w:rPr>
        <w:t xml:space="preserve"> [6]</w:t>
      </w:r>
      <w:r>
        <w:rPr>
          <w:rFonts w:eastAsiaTheme="minorEastAsia"/>
        </w:rPr>
        <w:t>.</w:t>
      </w:r>
      <w:r w:rsidR="000760CE">
        <w:rPr>
          <w:rFonts w:eastAsiaTheme="minorEastAsia"/>
        </w:rPr>
        <w:t xml:space="preserve"> Die diffuse Strahlung besitzt dabei keine definierte Richtung, aber die direkte Strahlung kommt direkt aus der Sonnenrichtung.</w:t>
      </w:r>
    </w:p>
    <w:p w14:paraId="7CD3135C" w14:textId="6775E8A8" w:rsidR="004F1E17" w:rsidRDefault="004F1E17" w:rsidP="007D0A88">
      <w:pPr>
        <w:jc w:val="center"/>
        <w:rPr>
          <w:rFonts w:eastAsiaTheme="minorEastAsia"/>
        </w:rPr>
      </w:pPr>
    </w:p>
    <w:p w14:paraId="5119A68E" w14:textId="77777777" w:rsidR="00987B84" w:rsidRDefault="004F1E17" w:rsidP="00987B84">
      <w:pPr>
        <w:keepNext/>
        <w:jc w:val="center"/>
      </w:pPr>
      <w:r w:rsidRPr="004F1E17">
        <w:rPr>
          <w:noProof/>
        </w:rPr>
        <w:lastRenderedPageBreak/>
        <w:drawing>
          <wp:inline distT="0" distB="0" distL="0" distR="0" wp14:anchorId="4B941079" wp14:editId="0A48C342">
            <wp:extent cx="2120900" cy="1905000"/>
            <wp:effectExtent l="0" t="0" r="0" b="0"/>
            <wp:docPr id="295880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979" name=""/>
                    <pic:cNvPicPr/>
                  </pic:nvPicPr>
                  <pic:blipFill>
                    <a:blip r:embed="rId13"/>
                    <a:stretch>
                      <a:fillRect/>
                    </a:stretch>
                  </pic:blipFill>
                  <pic:spPr>
                    <a:xfrm>
                      <a:off x="0" y="0"/>
                      <a:ext cx="2120900" cy="1905000"/>
                    </a:xfrm>
                    <a:prstGeom prst="rect">
                      <a:avLst/>
                    </a:prstGeom>
                  </pic:spPr>
                </pic:pic>
              </a:graphicData>
            </a:graphic>
          </wp:inline>
        </w:drawing>
      </w:r>
    </w:p>
    <w:p w14:paraId="601777E4" w14:textId="5B7AECE5" w:rsidR="00987B84" w:rsidRDefault="00987B84" w:rsidP="00987B84">
      <w:pPr>
        <w:pStyle w:val="Beschriftung"/>
        <w:jc w:val="center"/>
      </w:pPr>
      <w:r>
        <w:t xml:space="preserve">Abbildung </w:t>
      </w:r>
      <w:fldSimple w:instr=" SEQ Abbildung \* ARABIC ">
        <w:r w:rsidR="009853BA">
          <w:rPr>
            <w:noProof/>
          </w:rPr>
          <w:t>5</w:t>
        </w:r>
      </w:fldSimple>
      <w:r>
        <w:t xml:space="preserve"> </w:t>
      </w:r>
      <w:r w:rsidRPr="00AA27B0">
        <w:t>Streuung in der Atmosphäre [6]</w:t>
      </w:r>
    </w:p>
    <w:p w14:paraId="3090C58C" w14:textId="77777777" w:rsidR="00987B84" w:rsidRDefault="00987B84" w:rsidP="00987B84">
      <w:pPr>
        <w:keepNext/>
        <w:jc w:val="center"/>
      </w:pPr>
      <w:r w:rsidRPr="00987B84">
        <w:rPr>
          <w:noProof/>
        </w:rPr>
        <w:drawing>
          <wp:inline distT="0" distB="0" distL="0" distR="0" wp14:anchorId="3ADBC6BA" wp14:editId="1C63AA56">
            <wp:extent cx="2387600" cy="1714500"/>
            <wp:effectExtent l="0" t="0" r="0" b="0"/>
            <wp:docPr id="9649933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3349" name=""/>
                    <pic:cNvPicPr/>
                  </pic:nvPicPr>
                  <pic:blipFill>
                    <a:blip r:embed="rId14"/>
                    <a:stretch>
                      <a:fillRect/>
                    </a:stretch>
                  </pic:blipFill>
                  <pic:spPr>
                    <a:xfrm>
                      <a:off x="0" y="0"/>
                      <a:ext cx="2387600" cy="1714500"/>
                    </a:xfrm>
                    <a:prstGeom prst="rect">
                      <a:avLst/>
                    </a:prstGeom>
                  </pic:spPr>
                </pic:pic>
              </a:graphicData>
            </a:graphic>
          </wp:inline>
        </w:drawing>
      </w:r>
    </w:p>
    <w:p w14:paraId="1E40A227" w14:textId="018513D0" w:rsidR="00BA6F47" w:rsidRDefault="00987B84" w:rsidP="00987B84">
      <w:pPr>
        <w:pStyle w:val="Beschriftung"/>
        <w:jc w:val="center"/>
      </w:pPr>
      <w:r>
        <w:t xml:space="preserve">Abbildung </w:t>
      </w:r>
      <w:fldSimple w:instr=" SEQ Abbildung \* ARABIC ">
        <w:r w:rsidR="009853BA">
          <w:rPr>
            <w:noProof/>
          </w:rPr>
          <w:t>6</w:t>
        </w:r>
      </w:fldSimple>
      <w:r>
        <w:t xml:space="preserve"> Einstrahlung in die geneigte Ebene [6]</w:t>
      </w:r>
    </w:p>
    <w:p w14:paraId="79F4E0EE" w14:textId="77777777" w:rsidR="004872DB" w:rsidRPr="004872DB" w:rsidRDefault="004872DB" w:rsidP="004872DB"/>
    <w:p w14:paraId="4F89A434" w14:textId="24D6680B" w:rsidR="0044671B" w:rsidRDefault="00061FBE" w:rsidP="00061FBE">
      <w:r>
        <w:t xml:space="preserve">Bei einer PV-Anlage muss aber die geneigte Fläche betrachtet werden, da die gesamte Strahlung zusätzlich noch mit dem reflektierten Anteil zusammensetzt. Es handelt es sich hierbei um die Bodenreflexion, die mitberücksichtigt wird. Daraus entsteht die Formel: </w:t>
      </w:r>
    </w:p>
    <w:p w14:paraId="694F6B3E" w14:textId="68AB683D" w:rsidR="00061FBE" w:rsidRPr="002F784A" w:rsidRDefault="00000000" w:rsidP="00061FBE">
      <w:pPr>
        <w:jc w:val="cente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G,gen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dir,gen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diff,gen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refl,gen</m:t>
              </m:r>
            </m:sub>
          </m:sSub>
        </m:oMath>
      </m:oMathPara>
    </w:p>
    <w:p w14:paraId="358BFE01" w14:textId="77777777" w:rsidR="002F784A" w:rsidRDefault="002F784A" w:rsidP="002F784A">
      <w:pPr>
        <w:rPr>
          <w:rFonts w:eastAsiaTheme="minorEastAsia"/>
        </w:rPr>
      </w:pPr>
    </w:p>
    <w:p w14:paraId="409214DA" w14:textId="7C3ED9CF" w:rsidR="002F784A" w:rsidRDefault="002F784A" w:rsidP="002F784A">
      <w:pPr>
        <w:rPr>
          <w:rFonts w:eastAsiaTheme="minorEastAsia"/>
        </w:rPr>
      </w:pPr>
      <w:r>
        <w:rPr>
          <w:rFonts w:eastAsiaTheme="minorEastAsia"/>
        </w:rPr>
        <w:t>Die Berechnung der Bodenreflexion setzt sich zusammen aus der Formel:</w:t>
      </w:r>
    </w:p>
    <w:p w14:paraId="57058097" w14:textId="77777777" w:rsidR="00497BDF" w:rsidRDefault="00497BDF" w:rsidP="002F784A">
      <w:pPr>
        <w:rPr>
          <w:rFonts w:eastAsiaTheme="minorEastAsia"/>
        </w:rPr>
      </w:pPr>
    </w:p>
    <w:p w14:paraId="5BDE84C0" w14:textId="7D51A9E6" w:rsidR="002F784A" w:rsidRPr="00497BDF" w:rsidRDefault="00000000" w:rsidP="002F78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refl,gen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G,hor</m:t>
              </m:r>
            </m:sub>
          </m:sSub>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*(1-cos</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oMath>
      </m:oMathPara>
    </w:p>
    <w:p w14:paraId="1E236E66" w14:textId="77777777" w:rsidR="00497BDF" w:rsidRPr="002F784A" w:rsidRDefault="00497BDF" w:rsidP="002F784A">
      <w:pPr>
        <w:rPr>
          <w:rFonts w:eastAsiaTheme="minorEastAsia"/>
        </w:rPr>
      </w:pPr>
    </w:p>
    <w:p w14:paraId="596BCDC1" w14:textId="7B0CE4FE" w:rsidR="002F784A" w:rsidRDefault="002F784A" w:rsidP="002F784A">
      <w:pPr>
        <w:rPr>
          <w:rFonts w:eastAsiaTheme="minorEastAsia"/>
        </w:rPr>
      </w:pPr>
      <w:r>
        <w:rPr>
          <w:rFonts w:eastAsiaTheme="minorEastAsia"/>
        </w:rPr>
        <w:t>Der Albedo Wert A wir</w:t>
      </w:r>
      <w:r w:rsidR="007A6EFE">
        <w:rPr>
          <w:rFonts w:eastAsiaTheme="minorEastAsia"/>
        </w:rPr>
        <w:t>d</w:t>
      </w:r>
      <w:r>
        <w:rPr>
          <w:rFonts w:eastAsiaTheme="minorEastAsia"/>
        </w:rPr>
        <w:t xml:space="preserve"> je nach Umgebung bestimmt. Wenn die Umgebung nicht bekannt </w:t>
      </w:r>
      <w:r w:rsidR="00987B84">
        <w:rPr>
          <w:rFonts w:eastAsiaTheme="minorEastAsia"/>
        </w:rPr>
        <w:t>ist, wird meistens ein Wert von 0,2 eingegeben</w:t>
      </w:r>
      <w:r w:rsidR="00845A39">
        <w:rPr>
          <w:rFonts w:eastAsiaTheme="minorEastAsia"/>
        </w:rPr>
        <w:t xml:space="preserve"> </w:t>
      </w:r>
      <w:r w:rsidR="007A6EFE">
        <w:rPr>
          <w:rFonts w:eastAsiaTheme="minorEastAsia"/>
        </w:rPr>
        <w:t>[6, S.88]</w:t>
      </w:r>
      <w:r w:rsidR="00987B84">
        <w:rPr>
          <w:rFonts w:eastAsiaTheme="minorEastAsia"/>
        </w:rPr>
        <w:t xml:space="preserve">. </w:t>
      </w:r>
    </w:p>
    <w:p w14:paraId="2CACEEFA" w14:textId="77777777" w:rsidR="00987B84" w:rsidRDefault="00987B84" w:rsidP="002F784A">
      <w:pPr>
        <w:rPr>
          <w:rFonts w:eastAsiaTheme="minorEastAsia"/>
        </w:rPr>
      </w:pPr>
    </w:p>
    <w:p w14:paraId="46EC8532" w14:textId="77777777" w:rsidR="000E1259" w:rsidRDefault="00987B84" w:rsidP="000E1259">
      <w:pPr>
        <w:keepNext/>
        <w:jc w:val="center"/>
      </w:pPr>
      <w:r w:rsidRPr="00987B84">
        <w:rPr>
          <w:rFonts w:eastAsiaTheme="minorEastAsia"/>
          <w:noProof/>
        </w:rPr>
        <w:lastRenderedPageBreak/>
        <w:drawing>
          <wp:inline distT="0" distB="0" distL="0" distR="0" wp14:anchorId="0ED66527" wp14:editId="23FBF4E4">
            <wp:extent cx="5702710" cy="2246992"/>
            <wp:effectExtent l="0" t="0" r="0" b="0"/>
            <wp:docPr id="464013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3181" name=""/>
                    <pic:cNvPicPr/>
                  </pic:nvPicPr>
                  <pic:blipFill>
                    <a:blip r:embed="rId15"/>
                    <a:stretch>
                      <a:fillRect/>
                    </a:stretch>
                  </pic:blipFill>
                  <pic:spPr>
                    <a:xfrm>
                      <a:off x="0" y="0"/>
                      <a:ext cx="5722669" cy="2254856"/>
                    </a:xfrm>
                    <a:prstGeom prst="rect">
                      <a:avLst/>
                    </a:prstGeom>
                  </pic:spPr>
                </pic:pic>
              </a:graphicData>
            </a:graphic>
          </wp:inline>
        </w:drawing>
      </w:r>
    </w:p>
    <w:p w14:paraId="67BBA351" w14:textId="3429D72C" w:rsidR="00987B84" w:rsidRDefault="000E1259" w:rsidP="000E1259">
      <w:pPr>
        <w:pStyle w:val="Beschriftung"/>
        <w:jc w:val="center"/>
      </w:pPr>
      <w:r>
        <w:t xml:space="preserve">Tabelle </w:t>
      </w:r>
      <w:fldSimple w:instr=" SEQ Tabelle \* ARABIC ">
        <w:r w:rsidR="00095F25">
          <w:rPr>
            <w:noProof/>
          </w:rPr>
          <w:t>3</w:t>
        </w:r>
      </w:fldSimple>
      <w:r>
        <w:t xml:space="preserve"> Albedo für verschiedene Umgebungen</w:t>
      </w:r>
      <w:r w:rsidR="007A6EFE">
        <w:t xml:space="preserve"> [6]</w:t>
      </w:r>
    </w:p>
    <w:p w14:paraId="01A341C4" w14:textId="6475B899" w:rsidR="00BB6FF6" w:rsidRDefault="00BB6FF6" w:rsidP="00BB6FF6">
      <w:r>
        <w:t xml:space="preserve">Die direkte Strahlung auf der geneigten Ebene lässt ebenso anders festlegen als in der horizontalen. Dabei </w:t>
      </w:r>
      <w:r w:rsidR="00845A39">
        <w:t xml:space="preserve">entsteht die Formel mit Berücksichtigung </w:t>
      </w:r>
      <w:r w:rsidR="00B72249">
        <w:t xml:space="preserve">der Neigungswinkel und dem Einfallswinkel </w:t>
      </w:r>
      <w:r w:rsidR="00845A39">
        <w:t>[6, S.86]:</w:t>
      </w:r>
    </w:p>
    <w:p w14:paraId="01E5E41F" w14:textId="77777777" w:rsidR="00497BDF" w:rsidRDefault="00497BDF" w:rsidP="00BB6FF6"/>
    <w:p w14:paraId="37A0B927" w14:textId="720F05A1" w:rsidR="00845A39" w:rsidRPr="00845A39" w:rsidRDefault="00000000" w:rsidP="00BB6FF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dir,gen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dir,hor</m:t>
              </m:r>
            </m:sub>
          </m:sSub>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hAnsi="Cambria Math"/>
                  <w:i/>
                </w:rPr>
              </m:ctrlP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gen</m:t>
                  </m:r>
                </m:sub>
              </m:sSub>
            </m:e>
          </m:func>
          <m:r>
            <w:rPr>
              <w:rFonts w:ascii="Cambria Math" w:eastAsiaTheme="minorEastAsia" w:hAnsi="Cambria Math"/>
            </w:rPr>
            <m:t>/sin</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m:oMathPara>
    </w:p>
    <w:p w14:paraId="097FC042" w14:textId="77777777" w:rsidR="00845A39" w:rsidRDefault="00845A39" w:rsidP="00BB6FF6">
      <w:pPr>
        <w:rPr>
          <w:rFonts w:eastAsiaTheme="minorEastAsia"/>
        </w:rPr>
      </w:pPr>
    </w:p>
    <w:p w14:paraId="54491D9C" w14:textId="46C4FC5B" w:rsidR="00845A39" w:rsidRDefault="00845A39" w:rsidP="00BB6FF6">
      <w:pPr>
        <w:rPr>
          <w:rFonts w:eastAsiaTheme="minorEastAsia"/>
        </w:rPr>
      </w:pPr>
      <w:r>
        <w:rPr>
          <w:rFonts w:eastAsiaTheme="minorEastAsia"/>
        </w:rPr>
        <w:t>Letztere entsteht die diffuse Strahlung beim isentropischen Ansatz, heißt es wir</w:t>
      </w:r>
      <w:r w:rsidR="00497BDF">
        <w:rPr>
          <w:rFonts w:eastAsiaTheme="minorEastAsia"/>
        </w:rPr>
        <w:t>d</w:t>
      </w:r>
      <w:r>
        <w:rPr>
          <w:rFonts w:eastAsiaTheme="minorEastAsia"/>
        </w:rPr>
        <w:t xml:space="preserve"> davon ausgegangen, dass aus allen Himmelsrichtungen der gleiche Anteil der Himmelsstrahlung ankommt, aus [6, S.87]:</w:t>
      </w:r>
    </w:p>
    <w:p w14:paraId="6481D602" w14:textId="77777777" w:rsidR="00497BDF" w:rsidRDefault="00497BDF" w:rsidP="00BB6FF6">
      <w:pPr>
        <w:rPr>
          <w:rFonts w:eastAsiaTheme="minorEastAsia"/>
        </w:rPr>
      </w:pPr>
    </w:p>
    <w:p w14:paraId="65CE4605" w14:textId="546D7D94" w:rsidR="00845A39" w:rsidRPr="00845A39" w:rsidRDefault="00000000" w:rsidP="00BB6FF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diff,gen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diff,hor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*(1+cos</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oMath>
      </m:oMathPara>
    </w:p>
    <w:p w14:paraId="33A6FA3D" w14:textId="77777777" w:rsidR="00845A39" w:rsidRPr="00BB6FF6" w:rsidRDefault="00845A39" w:rsidP="00BB6FF6"/>
    <w:p w14:paraId="61BBD8D5" w14:textId="4EE49B62" w:rsidR="00061FBE" w:rsidRDefault="00061FBE" w:rsidP="00061FBE"/>
    <w:p w14:paraId="07888CEE" w14:textId="57255DBB" w:rsidR="0044671B" w:rsidRPr="009E073F" w:rsidRDefault="00E46C46" w:rsidP="0044671B">
      <w:r>
        <w:br w:type="page"/>
      </w:r>
    </w:p>
    <w:p w14:paraId="66B0995F" w14:textId="4594A423" w:rsidR="006945F8" w:rsidRDefault="007E7CEA" w:rsidP="000B1703">
      <w:pPr>
        <w:pStyle w:val="Titel"/>
      </w:pPr>
      <w:r>
        <w:lastRenderedPageBreak/>
        <w:t>Quellenangabe</w:t>
      </w:r>
    </w:p>
    <w:p w14:paraId="1B802BEA" w14:textId="1E7AF306" w:rsidR="000B1703" w:rsidRDefault="000B1703" w:rsidP="000B1703">
      <w:r>
        <w:t xml:space="preserve">[1] Bundesverband der Energie- und Wasserwirtschaft e.V. (BDEW), „BDEW – Strompreisanalyse Juli 2025“. [Online]. Verfügbar: </w:t>
      </w:r>
      <w:hyperlink r:id="rId16" w:history="1">
        <w:r w:rsidRPr="00C84C09">
          <w:rPr>
            <w:rStyle w:val="Hyperlink"/>
          </w:rPr>
          <w:t>https://www.bdew.de/service/daten-und-grafiken/bdew-strompreisanalyse/</w:t>
        </w:r>
      </w:hyperlink>
      <w:r>
        <w:t>. [Zugriff: 2</w:t>
      </w:r>
      <w:r w:rsidR="00A074CF">
        <w:t>7</w:t>
      </w:r>
      <w:r>
        <w:t>.</w:t>
      </w:r>
      <w:r w:rsidR="00A074CF">
        <w:t>09.2025</w:t>
      </w:r>
      <w:r>
        <w:t>].</w:t>
      </w:r>
    </w:p>
    <w:p w14:paraId="62A1ADFD" w14:textId="106766B4" w:rsidR="00A074CF" w:rsidRDefault="00A074CF" w:rsidP="00FE11DE">
      <w:r>
        <w:t xml:space="preserve">[2] EpexSpot. [Online]. Verfügbar: </w:t>
      </w:r>
      <w:hyperlink r:id="rId17" w:history="1">
        <w:r w:rsidRPr="00C84C09">
          <w:rPr>
            <w:rStyle w:val="Hyperlink"/>
          </w:rPr>
          <w:t>https://www.epexspot.com/en/market-results?market_area=DE-LU&amp;auction=MRC&amp;trading_date=2025-09-27&amp;delivery_date=2025-09-28&amp;underlying_year=&amp;modality=Auction&amp;sub_modality=DayAhead&amp;technology=&amp;data_mode=table&amp;period=&amp;production_period=</w:t>
        </w:r>
      </w:hyperlink>
      <w:r>
        <w:t>. [Zugriff: 27.09.2025].</w:t>
      </w:r>
    </w:p>
    <w:p w14:paraId="7E0381E1" w14:textId="08D6453D" w:rsidR="00F47118" w:rsidRDefault="00F47118" w:rsidP="00FE11DE">
      <w:r>
        <w:t>[3] Vattenfall, „Dynamischer Stromtarif</w:t>
      </w:r>
      <w:r w:rsidR="00AD0AF1">
        <w:t>“</w:t>
      </w:r>
      <w:r>
        <w:t xml:space="preserve">. [Online]. Verfügbar: </w:t>
      </w:r>
      <w:hyperlink r:id="rId18" w:history="1">
        <w:r w:rsidRPr="00C84C09">
          <w:rPr>
            <w:rStyle w:val="Hyperlink"/>
          </w:rPr>
          <w:t>https://www.vattenfall.de/strom/tarife/oekostrom-dynamik-boersenpreise</w:t>
        </w:r>
      </w:hyperlink>
      <w:r>
        <w:t>. [Zugriff: 27.09.2025].</w:t>
      </w:r>
    </w:p>
    <w:p w14:paraId="0F1851DC" w14:textId="6C700124" w:rsidR="00AD0AF1" w:rsidRDefault="00AD0AF1" w:rsidP="00FE11DE">
      <w:r>
        <w:t xml:space="preserve">[4] ADAC, “Stromverbrauch im Haushalt: Das ist Durchschnitt bei ein bis vier Personen“. [Online]. Verfügbar: </w:t>
      </w:r>
      <w:hyperlink r:id="rId19" w:anchor="stromverbrauch-von-4-personen" w:history="1">
        <w:r w:rsidRPr="008D6B5E">
          <w:rPr>
            <w:rStyle w:val="Hyperlink"/>
          </w:rPr>
          <w:t>https://www.adac.de/rund-ums-haus/energie/spartipps/stromverbrauch-im-haushalt/?utm_source=chatgpt.com#stromverbrauch-von-4-personen</w:t>
        </w:r>
      </w:hyperlink>
      <w:r>
        <w:t xml:space="preserve"> [Zugriff: 30.09.2025]</w:t>
      </w:r>
    </w:p>
    <w:p w14:paraId="5FD890AC" w14:textId="14EBD71F" w:rsidR="00566331" w:rsidRDefault="00566331" w:rsidP="00FE11DE">
      <w:r>
        <w:t xml:space="preserve">[5] </w:t>
      </w:r>
      <w:proofErr w:type="spellStart"/>
      <w:r>
        <w:t>Enpal</w:t>
      </w:r>
      <w:proofErr w:type="spellEnd"/>
      <w:r>
        <w:t xml:space="preserve">, „Durchschnittsverbrauch Strom: So viel Energie nutzt ein Haushalt wirklich“. [Online]. Verfügbar: </w:t>
      </w:r>
      <w:hyperlink r:id="rId20" w:history="1">
        <w:r w:rsidRPr="008D6B5E">
          <w:rPr>
            <w:rStyle w:val="Hyperlink"/>
          </w:rPr>
          <w:t>https://www.enpal.de/strom/durchschnittsverbrauch?utm_source=Search%20Ads&amp;utm_campaign=22153726533&amp;utm_term=182441672108&amp;utm_content=731604179406&amp;utm_placement=&amp;utm_device=c&amp;utm_keyword=&amp;utm_location=9044640&amp;gad_source=1&amp;gad_campaignid=22153726533&amp;gbraid=0AAAAADMX8nuBAtrJLcPJ46IUcVrIXlb0u&amp;gclid=Cj0KCQjw3OjGBhDYARIsADd-uX7S4a3DrO55uf-P4nqINifle4ft4ZJKUZiN1GEOfocNycooxNdufJoaAjtAEALw_wcB</w:t>
        </w:r>
      </w:hyperlink>
      <w:r>
        <w:t>. [Zugriff: 30.09.2025]</w:t>
      </w:r>
    </w:p>
    <w:p w14:paraId="0BEEA2BC" w14:textId="2BC2857A" w:rsidR="00280469" w:rsidRDefault="00AC065C" w:rsidP="00FE11DE">
      <w:r>
        <w:t xml:space="preserve">[6] </w:t>
      </w:r>
      <w:r w:rsidR="00192F13">
        <w:t>V. Quaschning, „Regenerative Energiesysteme: Technologie – Berechnung – Klimaschutz“. 10. Auflage, Hanser Verlag, München,2019.</w:t>
      </w:r>
    </w:p>
    <w:p w14:paraId="0B7F4DA3" w14:textId="524C4C89" w:rsidR="00280469" w:rsidRPr="000B1703" w:rsidRDefault="00280469" w:rsidP="00FE11DE">
      <w:r>
        <w:t>[7] Wolfgang Schellong, “Analyse und Optimierung von Energieverbundsystemen“</w:t>
      </w:r>
      <w:r w:rsidR="00A63C70">
        <w:t>, 1. Auflage, Springer Vieweg, Heidelberg,2016.</w:t>
      </w:r>
    </w:p>
    <w:sectPr w:rsidR="00280469" w:rsidRPr="000B1703" w:rsidSect="002F04E1">
      <w:headerReference w:type="even" r:id="rId21"/>
      <w:headerReference w:type="default" r:id="rId22"/>
      <w:pgSz w:w="11906" w:h="16838"/>
      <w:pgMar w:top="1417" w:right="1417" w:bottom="1134"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A38B4" w14:textId="77777777" w:rsidR="00AF7C02" w:rsidRDefault="00AF7C02" w:rsidP="002F04E1">
      <w:pPr>
        <w:spacing w:line="240" w:lineRule="auto"/>
      </w:pPr>
      <w:r>
        <w:separator/>
      </w:r>
    </w:p>
  </w:endnote>
  <w:endnote w:type="continuationSeparator" w:id="0">
    <w:p w14:paraId="5A5CAA9E" w14:textId="77777777" w:rsidR="00AF7C02" w:rsidRDefault="00AF7C02" w:rsidP="002F0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829F2" w14:textId="77777777" w:rsidR="00AF7C02" w:rsidRDefault="00AF7C02" w:rsidP="002F04E1">
      <w:pPr>
        <w:spacing w:line="240" w:lineRule="auto"/>
      </w:pPr>
      <w:r>
        <w:separator/>
      </w:r>
    </w:p>
  </w:footnote>
  <w:footnote w:type="continuationSeparator" w:id="0">
    <w:p w14:paraId="1F07302C" w14:textId="77777777" w:rsidR="00AF7C02" w:rsidRDefault="00AF7C02" w:rsidP="002F0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709873713"/>
      <w:docPartObj>
        <w:docPartGallery w:val="Page Numbers (Top of Page)"/>
        <w:docPartUnique/>
      </w:docPartObj>
    </w:sdtPr>
    <w:sdtContent>
      <w:p w14:paraId="5748CFD1" w14:textId="4164A495" w:rsidR="002F04E1" w:rsidRDefault="002F04E1" w:rsidP="00C82E2B">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fldChar w:fldCharType="end"/>
        </w:r>
      </w:p>
    </w:sdtContent>
  </w:sdt>
  <w:p w14:paraId="6DC91C1F" w14:textId="77777777" w:rsidR="002F04E1" w:rsidRDefault="002F04E1" w:rsidP="002F04E1">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0EC60" w14:textId="77777777" w:rsidR="002F04E1" w:rsidRDefault="002F04E1" w:rsidP="002F04E1">
    <w:pPr>
      <w:pStyle w:val="Kopfzeil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527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36D55D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3673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4261425">
    <w:abstractNumId w:val="2"/>
  </w:num>
  <w:num w:numId="2" w16cid:durableId="1440103025">
    <w:abstractNumId w:val="1"/>
  </w:num>
  <w:num w:numId="3" w16cid:durableId="2120296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F44"/>
    <w:rsid w:val="00011F7A"/>
    <w:rsid w:val="0001729B"/>
    <w:rsid w:val="000401BD"/>
    <w:rsid w:val="00061FBE"/>
    <w:rsid w:val="000760CE"/>
    <w:rsid w:val="00095F25"/>
    <w:rsid w:val="000B1703"/>
    <w:rsid w:val="000E1259"/>
    <w:rsid w:val="00144C62"/>
    <w:rsid w:val="00192F13"/>
    <w:rsid w:val="00195507"/>
    <w:rsid w:val="001978E7"/>
    <w:rsid w:val="001E3CA5"/>
    <w:rsid w:val="001F17ED"/>
    <w:rsid w:val="00241958"/>
    <w:rsid w:val="00280469"/>
    <w:rsid w:val="002C7F44"/>
    <w:rsid w:val="002D6C6F"/>
    <w:rsid w:val="002F04E1"/>
    <w:rsid w:val="002F784A"/>
    <w:rsid w:val="003108DE"/>
    <w:rsid w:val="00397FC8"/>
    <w:rsid w:val="003A08F4"/>
    <w:rsid w:val="003A54F1"/>
    <w:rsid w:val="003B5954"/>
    <w:rsid w:val="00401F74"/>
    <w:rsid w:val="0041372B"/>
    <w:rsid w:val="00425257"/>
    <w:rsid w:val="0044671B"/>
    <w:rsid w:val="00464FF4"/>
    <w:rsid w:val="00466CCD"/>
    <w:rsid w:val="00475BF7"/>
    <w:rsid w:val="004872DB"/>
    <w:rsid w:val="00497BDF"/>
    <w:rsid w:val="004A5028"/>
    <w:rsid w:val="004F1E17"/>
    <w:rsid w:val="00525FD5"/>
    <w:rsid w:val="005341C3"/>
    <w:rsid w:val="00560C53"/>
    <w:rsid w:val="00566331"/>
    <w:rsid w:val="00570AD2"/>
    <w:rsid w:val="00572D4C"/>
    <w:rsid w:val="005967AC"/>
    <w:rsid w:val="005A5EE8"/>
    <w:rsid w:val="005E3551"/>
    <w:rsid w:val="00611D70"/>
    <w:rsid w:val="006151DD"/>
    <w:rsid w:val="00624DDE"/>
    <w:rsid w:val="006361C0"/>
    <w:rsid w:val="00643902"/>
    <w:rsid w:val="00656685"/>
    <w:rsid w:val="006737BA"/>
    <w:rsid w:val="00675DE1"/>
    <w:rsid w:val="006945F8"/>
    <w:rsid w:val="006A2CF7"/>
    <w:rsid w:val="006C0EF5"/>
    <w:rsid w:val="006C2C73"/>
    <w:rsid w:val="006C76BA"/>
    <w:rsid w:val="006E313E"/>
    <w:rsid w:val="00733A9C"/>
    <w:rsid w:val="00774262"/>
    <w:rsid w:val="00794218"/>
    <w:rsid w:val="007A6EFE"/>
    <w:rsid w:val="007D0A88"/>
    <w:rsid w:val="007E7CEA"/>
    <w:rsid w:val="00802066"/>
    <w:rsid w:val="00845A39"/>
    <w:rsid w:val="00853F67"/>
    <w:rsid w:val="00874008"/>
    <w:rsid w:val="00881B8D"/>
    <w:rsid w:val="0088544A"/>
    <w:rsid w:val="00907C0F"/>
    <w:rsid w:val="00966930"/>
    <w:rsid w:val="009853BA"/>
    <w:rsid w:val="00987A58"/>
    <w:rsid w:val="00987B84"/>
    <w:rsid w:val="009903BF"/>
    <w:rsid w:val="00994D9B"/>
    <w:rsid w:val="009E073F"/>
    <w:rsid w:val="009E48D1"/>
    <w:rsid w:val="00A074CF"/>
    <w:rsid w:val="00A14765"/>
    <w:rsid w:val="00A32C8D"/>
    <w:rsid w:val="00A63C70"/>
    <w:rsid w:val="00A81328"/>
    <w:rsid w:val="00AA04E0"/>
    <w:rsid w:val="00AC065C"/>
    <w:rsid w:val="00AD06C5"/>
    <w:rsid w:val="00AD0AF1"/>
    <w:rsid w:val="00AE7938"/>
    <w:rsid w:val="00AF2557"/>
    <w:rsid w:val="00AF7C02"/>
    <w:rsid w:val="00B37B73"/>
    <w:rsid w:val="00B66318"/>
    <w:rsid w:val="00B72249"/>
    <w:rsid w:val="00BA6F47"/>
    <w:rsid w:val="00BB6FF6"/>
    <w:rsid w:val="00BE7D89"/>
    <w:rsid w:val="00C46726"/>
    <w:rsid w:val="00C564F8"/>
    <w:rsid w:val="00C604F1"/>
    <w:rsid w:val="00C80117"/>
    <w:rsid w:val="00CA6737"/>
    <w:rsid w:val="00CC0755"/>
    <w:rsid w:val="00CF0BF8"/>
    <w:rsid w:val="00D0362F"/>
    <w:rsid w:val="00D07F90"/>
    <w:rsid w:val="00D128D4"/>
    <w:rsid w:val="00D36B45"/>
    <w:rsid w:val="00D5716B"/>
    <w:rsid w:val="00D60244"/>
    <w:rsid w:val="00D62461"/>
    <w:rsid w:val="00D94117"/>
    <w:rsid w:val="00DD28EE"/>
    <w:rsid w:val="00DD458D"/>
    <w:rsid w:val="00DE0791"/>
    <w:rsid w:val="00E252D7"/>
    <w:rsid w:val="00E46C46"/>
    <w:rsid w:val="00E80ECE"/>
    <w:rsid w:val="00E815AC"/>
    <w:rsid w:val="00EC6C6A"/>
    <w:rsid w:val="00F3148E"/>
    <w:rsid w:val="00F47118"/>
    <w:rsid w:val="00FD7435"/>
    <w:rsid w:val="00FE11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00D0"/>
  <w15:chartTrackingRefBased/>
  <w15:docId w15:val="{796D0B69-4077-0944-A625-8D149BFF7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760CE"/>
    <w:pPr>
      <w:spacing w:line="360" w:lineRule="auto"/>
      <w:jc w:val="both"/>
    </w:pPr>
    <w:rPr>
      <w:rFonts w:ascii="Arial" w:hAnsi="Arial"/>
    </w:rPr>
  </w:style>
  <w:style w:type="paragraph" w:styleId="berschrift1">
    <w:name w:val="heading 1"/>
    <w:basedOn w:val="Standard"/>
    <w:next w:val="Standard"/>
    <w:link w:val="berschrift1Zchn"/>
    <w:uiPriority w:val="9"/>
    <w:qFormat/>
    <w:rsid w:val="00E80ECE"/>
    <w:pPr>
      <w:keepNext/>
      <w:keepLines/>
      <w:numPr>
        <w:numId w:val="3"/>
      </w:numPr>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semiHidden/>
    <w:unhideWhenUsed/>
    <w:qFormat/>
    <w:rsid w:val="002C7F44"/>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C7F44"/>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C7F44"/>
    <w:pPr>
      <w:keepNext/>
      <w:keepLines/>
      <w:numPr>
        <w:ilvl w:val="3"/>
        <w:numId w:val="3"/>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C7F44"/>
    <w:pPr>
      <w:keepNext/>
      <w:keepLines/>
      <w:numPr>
        <w:ilvl w:val="4"/>
        <w:numId w:val="3"/>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C7F44"/>
    <w:pPr>
      <w:keepNext/>
      <w:keepLines/>
      <w:numPr>
        <w:ilvl w:val="5"/>
        <w:numId w:val="3"/>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C7F44"/>
    <w:pPr>
      <w:keepNext/>
      <w:keepLines/>
      <w:numPr>
        <w:ilvl w:val="6"/>
        <w:numId w:val="3"/>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C7F44"/>
    <w:pPr>
      <w:keepNext/>
      <w:keepLines/>
      <w:numPr>
        <w:ilvl w:val="7"/>
        <w:numId w:val="3"/>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C7F44"/>
    <w:pPr>
      <w:keepNext/>
      <w:keepLines/>
      <w:numPr>
        <w:ilvl w:val="8"/>
        <w:numId w:val="3"/>
      </w:numPr>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80ECE"/>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semiHidden/>
    <w:rsid w:val="002C7F4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C7F4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C7F4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C7F4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C7F4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C7F4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C7F4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C7F44"/>
    <w:rPr>
      <w:rFonts w:eastAsiaTheme="majorEastAsia" w:cstheme="majorBidi"/>
      <w:color w:val="272727" w:themeColor="text1" w:themeTint="D8"/>
    </w:rPr>
  </w:style>
  <w:style w:type="paragraph" w:styleId="Titel">
    <w:name w:val="Title"/>
    <w:basedOn w:val="Standard"/>
    <w:next w:val="Standard"/>
    <w:link w:val="TitelZchn"/>
    <w:uiPriority w:val="10"/>
    <w:qFormat/>
    <w:rsid w:val="002C7F4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F4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C7F4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C7F4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C7F4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2C7F44"/>
    <w:rPr>
      <w:i/>
      <w:iCs/>
      <w:color w:val="404040" w:themeColor="text1" w:themeTint="BF"/>
    </w:rPr>
  </w:style>
  <w:style w:type="paragraph" w:styleId="Listenabsatz">
    <w:name w:val="List Paragraph"/>
    <w:basedOn w:val="Standard"/>
    <w:uiPriority w:val="34"/>
    <w:qFormat/>
    <w:rsid w:val="002C7F44"/>
    <w:pPr>
      <w:ind w:left="720"/>
      <w:contextualSpacing/>
    </w:pPr>
  </w:style>
  <w:style w:type="character" w:styleId="IntensiveHervorhebung">
    <w:name w:val="Intense Emphasis"/>
    <w:basedOn w:val="Absatz-Standardschriftart"/>
    <w:uiPriority w:val="21"/>
    <w:qFormat/>
    <w:rsid w:val="002C7F44"/>
    <w:rPr>
      <w:i/>
      <w:iCs/>
      <w:color w:val="0F4761" w:themeColor="accent1" w:themeShade="BF"/>
    </w:rPr>
  </w:style>
  <w:style w:type="paragraph" w:styleId="IntensivesZitat">
    <w:name w:val="Intense Quote"/>
    <w:basedOn w:val="Standard"/>
    <w:next w:val="Standard"/>
    <w:link w:val="IntensivesZitatZchn"/>
    <w:uiPriority w:val="30"/>
    <w:qFormat/>
    <w:rsid w:val="002C7F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C7F44"/>
    <w:rPr>
      <w:i/>
      <w:iCs/>
      <w:color w:val="0F4761" w:themeColor="accent1" w:themeShade="BF"/>
    </w:rPr>
  </w:style>
  <w:style w:type="character" w:styleId="IntensiverVerweis">
    <w:name w:val="Intense Reference"/>
    <w:basedOn w:val="Absatz-Standardschriftart"/>
    <w:uiPriority w:val="32"/>
    <w:qFormat/>
    <w:rsid w:val="002C7F44"/>
    <w:rPr>
      <w:b/>
      <w:bCs/>
      <w:smallCaps/>
      <w:color w:val="0F4761" w:themeColor="accent1" w:themeShade="BF"/>
      <w:spacing w:val="5"/>
    </w:rPr>
  </w:style>
  <w:style w:type="character" w:styleId="Hyperlink">
    <w:name w:val="Hyperlink"/>
    <w:basedOn w:val="Absatz-Standardschriftart"/>
    <w:uiPriority w:val="99"/>
    <w:unhideWhenUsed/>
    <w:rsid w:val="000B1703"/>
    <w:rPr>
      <w:color w:val="467886" w:themeColor="hyperlink"/>
      <w:u w:val="single"/>
    </w:rPr>
  </w:style>
  <w:style w:type="character" w:styleId="NichtaufgelsteErwhnung">
    <w:name w:val="Unresolved Mention"/>
    <w:basedOn w:val="Absatz-Standardschriftart"/>
    <w:uiPriority w:val="99"/>
    <w:semiHidden/>
    <w:unhideWhenUsed/>
    <w:rsid w:val="000B1703"/>
    <w:rPr>
      <w:color w:val="605E5C"/>
      <w:shd w:val="clear" w:color="auto" w:fill="E1DFDD"/>
    </w:rPr>
  </w:style>
  <w:style w:type="table" w:styleId="Tabellenraster">
    <w:name w:val="Table Grid"/>
    <w:basedOn w:val="NormaleTabelle"/>
    <w:uiPriority w:val="39"/>
    <w:rsid w:val="00D03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A2CF7"/>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A074CF"/>
    <w:rPr>
      <w:color w:val="96607D" w:themeColor="followedHyperlink"/>
      <w:u w:val="single"/>
    </w:rPr>
  </w:style>
  <w:style w:type="character" w:styleId="Platzhaltertext">
    <w:name w:val="Placeholder Text"/>
    <w:basedOn w:val="Absatz-Standardschriftart"/>
    <w:uiPriority w:val="99"/>
    <w:semiHidden/>
    <w:rsid w:val="00C564F8"/>
    <w:rPr>
      <w:color w:val="666666"/>
    </w:rPr>
  </w:style>
  <w:style w:type="paragraph" w:styleId="Kopfzeile">
    <w:name w:val="header"/>
    <w:basedOn w:val="Standard"/>
    <w:link w:val="KopfzeileZchn"/>
    <w:uiPriority w:val="99"/>
    <w:unhideWhenUsed/>
    <w:rsid w:val="002F04E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04E1"/>
    <w:rPr>
      <w:rFonts w:ascii="Arial" w:hAnsi="Arial"/>
    </w:rPr>
  </w:style>
  <w:style w:type="character" w:styleId="Seitenzahl">
    <w:name w:val="page number"/>
    <w:basedOn w:val="Absatz-Standardschriftart"/>
    <w:uiPriority w:val="99"/>
    <w:semiHidden/>
    <w:unhideWhenUsed/>
    <w:rsid w:val="002F0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emf"/><Relationship Id="rId18" Type="http://schemas.openxmlformats.org/officeDocument/2006/relationships/hyperlink" Target="https://www.vattenfall.de/strom/tarife/oekostrom-dynamik-boersenpreise"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hart" Target="charts/chart1.xml"/><Relationship Id="rId12" Type="http://schemas.openxmlformats.org/officeDocument/2006/relationships/image" Target="media/image4.emf"/><Relationship Id="rId17" Type="http://schemas.openxmlformats.org/officeDocument/2006/relationships/hyperlink" Target="https://www.epexspot.com/en/market-results?market_area=DE-LU&amp;auction=MRC&amp;trading_date=2025-09-27&amp;delivery_date=2025-09-28&amp;underlying_year=&amp;modality=Auction&amp;sub_modality=DayAhead&amp;technology=&amp;data_mode=table&amp;period=&amp;production_period=" TargetMode="External"/><Relationship Id="rId2" Type="http://schemas.openxmlformats.org/officeDocument/2006/relationships/styles" Target="styles.xml"/><Relationship Id="rId16" Type="http://schemas.openxmlformats.org/officeDocument/2006/relationships/hyperlink" Target="https://www.bdew.de/service/daten-und-grafiken/bdew-strompreisanalyse/" TargetMode="External"/><Relationship Id="rId20" Type="http://schemas.openxmlformats.org/officeDocument/2006/relationships/hyperlink" Target="https://www.enpal.de/strom/durchschnittsverbrauch?utm_source=Search%20Ads&amp;utm_campaign=22153726533&amp;utm_term=182441672108&amp;utm_content=731604179406&amp;utm_placement=&amp;utm_device=c&amp;utm_keyword=&amp;utm_location=9044640&amp;gad_source=1&amp;gad_campaignid=22153726533&amp;gbraid=0AAAAADMX8nuBAtrJLcPJ46IUcVrIXlb0u&amp;gclid=Cj0KCQjw3OjGBhDYARIsADd-uX7S4a3DrO55uf-P4nqINifle4ft4ZJKUZiN1GEOfocNycooxNdufJoaAjtAEALw_w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dac.de/rund-ums-haus/energie/spartipps/stromverbrauch-im-haushalt/?utm_source=chatgpt.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Tabelle1!$B$1</c:f>
              <c:strCache>
                <c:ptCount val="1"/>
                <c:pt idx="0">
                  <c:v>Spalte1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3-F112-2842-93B0-53253F0307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16-2A45-8071-B51FB1F625A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16-2A45-8071-B51FB1F625A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de-DE"/>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Tabelle1!$A$2:$A$4</c:f>
              <c:strCache>
                <c:ptCount val="3"/>
                <c:pt idx="0">
                  <c:v>Beschaffung &amp; Vertrieb</c:v>
                </c:pt>
                <c:pt idx="1">
                  <c:v>Netzentgelte</c:v>
                </c:pt>
                <c:pt idx="2">
                  <c:v>Steuern, Abgaben, Umlagen</c:v>
                </c:pt>
              </c:strCache>
            </c:strRef>
          </c:cat>
          <c:val>
            <c:numRef>
              <c:f>Tabelle1!$B$2:$B$4</c:f>
              <c:numCache>
                <c:formatCode>General</c:formatCode>
                <c:ptCount val="3"/>
                <c:pt idx="0">
                  <c:v>16.100000000000001</c:v>
                </c:pt>
                <c:pt idx="1">
                  <c:v>10.9</c:v>
                </c:pt>
                <c:pt idx="2">
                  <c:v>12.7</c:v>
                </c:pt>
              </c:numCache>
            </c:numRef>
          </c:val>
          <c:extLst>
            <c:ext xmlns:c16="http://schemas.microsoft.com/office/drawing/2014/chart" uri="{C3380CC4-5D6E-409C-BE32-E72D297353CC}">
              <c16:uniqueId val="{00000000-F112-2842-93B0-53253F0307D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Tabelle1!$B$1</c:f>
              <c:strCache>
                <c:ptCount val="1"/>
                <c:pt idx="0">
                  <c:v>Spalte1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AF-E94E-885D-6ED56C43EC4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2AF-E94E-885D-6ED56C43EC4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2AF-E94E-885D-6ED56C43EC4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4B9-A14C-8397-D3469F6CF6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4B9-A14C-8397-D3469F6CF60D}"/>
              </c:ext>
            </c:extLst>
          </c:dPt>
          <c:dPt>
            <c:idx val="5"/>
            <c:bubble3D val="0"/>
            <c:spPr>
              <a:solidFill>
                <a:srgbClr val="C00000"/>
              </a:solidFill>
              <a:ln w="19050">
                <a:solidFill>
                  <a:schemeClr val="lt1"/>
                </a:solidFill>
              </a:ln>
              <a:effectLst/>
            </c:spPr>
            <c:extLst>
              <c:ext xmlns:c16="http://schemas.microsoft.com/office/drawing/2014/chart" uri="{C3380CC4-5D6E-409C-BE32-E72D297353CC}">
                <c16:uniqueId val="{00000007-E2AF-E94E-885D-6ED56C43EC4E}"/>
              </c:ext>
            </c:extLst>
          </c:dPt>
          <c:dLbls>
            <c:dLbl>
              <c:idx val="5"/>
              <c:showLegendKey val="0"/>
              <c:showVal val="0"/>
              <c:showCatName val="0"/>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E2AF-E94E-885D-6ED56C43EC4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de-DE"/>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Tabelle1!$A$2:$A$7</c:f>
              <c:strCache>
                <c:ptCount val="6"/>
                <c:pt idx="0">
                  <c:v>KWKG-Umlage</c:v>
                </c:pt>
                <c:pt idx="1">
                  <c:v>Offshore-Netzumlage</c:v>
                </c:pt>
                <c:pt idx="2">
                  <c:v>§19 StromNEV-Umlage</c:v>
                </c:pt>
                <c:pt idx="3">
                  <c:v>Konzessionsabgabe</c:v>
                </c:pt>
                <c:pt idx="4">
                  <c:v>Stromsteuer</c:v>
                </c:pt>
                <c:pt idx="5">
                  <c:v>Mwst</c:v>
                </c:pt>
              </c:strCache>
            </c:strRef>
          </c:cat>
          <c:val>
            <c:numRef>
              <c:f>Tabelle1!$B$2:$B$7</c:f>
              <c:numCache>
                <c:formatCode>General</c:formatCode>
                <c:ptCount val="6"/>
                <c:pt idx="0">
                  <c:v>0.28000000000000003</c:v>
                </c:pt>
                <c:pt idx="1">
                  <c:v>0.82</c:v>
                </c:pt>
                <c:pt idx="2">
                  <c:v>1.56</c:v>
                </c:pt>
                <c:pt idx="3">
                  <c:v>1.67</c:v>
                </c:pt>
                <c:pt idx="4">
                  <c:v>2.0499999999999998</c:v>
                </c:pt>
                <c:pt idx="5">
                  <c:v>6.34</c:v>
                </c:pt>
              </c:numCache>
            </c:numRef>
          </c:val>
          <c:extLst>
            <c:ext xmlns:c16="http://schemas.microsoft.com/office/drawing/2014/chart" uri="{C3380CC4-5D6E-409C-BE32-E72D297353CC}">
              <c16:uniqueId val="{00000006-E2AF-E94E-885D-6ED56C43EC4E}"/>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1831</Words>
  <Characters>11541</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Manap (amanap)</dc:creator>
  <cp:keywords/>
  <dc:description/>
  <cp:lastModifiedBy>Abdullah Manap (amanap)</cp:lastModifiedBy>
  <cp:revision>86</cp:revision>
  <dcterms:created xsi:type="dcterms:W3CDTF">2025-09-23T17:32:00Z</dcterms:created>
  <dcterms:modified xsi:type="dcterms:W3CDTF">2025-10-20T16:58:00Z</dcterms:modified>
</cp:coreProperties>
</file>