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Arial"/>
          <w:b/>
          <w:color w:val="1F4E79"/>
          <w:sz w:val="44"/>
        </w:rPr>
        <w:t>Volume 4 — SDTA</w:t>
      </w:r>
    </w:p>
    <w:p>
      <w:pPr>
        <w:jc w:val="center"/>
      </w:pPr>
      <w:r>
        <w:rPr>
          <w:rFonts w:ascii="Arial" w:hAnsi="Arial" w:eastAsia="Arial"/>
          <w:b/>
          <w:color w:val="5A5A5A"/>
          <w:sz w:val="32"/>
        </w:rPr>
        <w:t>BOOK 1 — Enterprise Solution Architecture</w:t>
      </w:r>
    </w:p>
    <w:p>
      <w:pPr>
        <w:jc w:val="center"/>
      </w:pPr>
      <w:r>
        <w:rPr>
          <w:rFonts w:ascii="Arial" w:hAnsi="Arial" w:eastAsia="Arial"/>
          <w:b w:val="0"/>
          <w:color w:val="5A5A5A"/>
          <w:sz w:val="21"/>
        </w:rPr>
        <w:t>Enterprise ERP Solution Design &amp; Technical Architecture</w:t>
      </w:r>
    </w:p>
    <w:p>
      <w:pPr>
        <w:jc w:val="center"/>
      </w:pPr>
      <w:r>
        <w:rPr>
          <w:rFonts w:ascii="Arial" w:hAnsi="Arial" w:eastAsia="Arial"/>
          <w:b w:val="0"/>
          <w:color w:val="5A5A5A"/>
          <w:sz w:val="21"/>
        </w:rPr>
        <w:t>Implementation-ready engineering reference after Volumes 1–3</w:t>
      </w:r>
    </w:p>
    <w:p>
      <w:pPr>
        <w:jc w:val="center"/>
      </w:pPr>
      <w:r>
        <w:rPr>
          <w:rFonts w:ascii="Arial" w:hAnsi="Arial" w:eastAsia="Arial"/>
          <w:b w:val="0"/>
          <w:color w:val="5A5A5A"/>
          <w:sz w:val="21"/>
        </w:rPr>
        <w:t>Prepared for: Abdullah Maresh | Date: 07 July 2026</w:t>
      </w:r>
    </w:p>
    <w:p>
      <w:r>
        <w:br w:type="page"/>
      </w:r>
    </w:p>
    <w:p>
      <w:pPr>
        <w:pStyle w:val="Heading1"/>
        <w:spacing w:before="180" w:after="80"/>
      </w:pPr>
      <w:r>
        <w:rPr>
          <w:rFonts w:ascii="Arial" w:hAnsi="Arial" w:eastAsia="Arial"/>
          <w:b/>
          <w:color w:val="1F4E79"/>
          <w:sz w:val="32"/>
        </w:rPr>
        <w:t>Document Context and Consistency Statement</w:t>
      </w:r>
    </w:p>
    <w:p>
      <w:pPr>
        <w:spacing w:line="269" w:lineRule="auto" w:after="60"/>
      </w:pPr>
      <w:r>
        <w:rPr>
          <w:rFonts w:ascii="Arial" w:hAnsi="Arial" w:eastAsia="Arial"/>
          <w:b w:val="0"/>
          <w:color w:val="222222"/>
          <w:sz w:val="18"/>
        </w:rPr>
        <w:t>This document implements BOOK 1 — Enterprise Solution Architecture according to the approved Volume 4 SDTA Master TOC. Volumes 1–3 are treated as immutable references. This Book does not rewrite benchmark, software blueprint, or FTS content; it translates those decisions into the solution architecture layer required before backend, frontend, database, DevOps, QA, and security engineering work begins.</w:t>
      </w:r>
    </w:p>
    <w:p>
      <w:pPr>
        <w:bidi w:val="1"/>
        <w:spacing w:line="269" w:lineRule="auto" w:after="60"/>
        <w:jc w:val="right"/>
      </w:pPr>
      <w:r>
        <w:rPr>
          <w:rFonts w:ascii="Arial" w:hAnsi="Arial" w:eastAsia="Arial"/>
          <w:b w:val="0"/>
          <w:color w:val="222222"/>
          <w:sz w:val="18"/>
        </w:rPr>
        <w:t>تم إعداد هذا الملف كوثيقة Word مستقلة ومنسقة، مع الحفاظ على الاتساق الكامل مع المخرجات السابقة، وبمستوى تفصيلي مناسب لفريق معماري وهندسي كبير.</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Reference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Role in Book 1</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1 — Enterprise Benchmark Analysis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Provides evidence, patterns, best practices and architectural justification.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 Enterprise ERP Software Blueprint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architecture principles: modular, domain-oriented, event-aware, audit-first ERP.</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 Functional &amp; Technical Specification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module execution details, screens, fields, workflows, APIs and posting behavior.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4 — SDTA Master TOC</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scope and required sections for this Book.</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
              <w:rPr>
                <w:rFonts w:ascii="Arial" w:hAnsi="Arial" w:eastAsia="Arial"/>
                <w:b/>
                <w:color w:val="785000"/>
                <w:sz w:val="19"/>
              </w:rPr>
              <w:t>Non-Duplication Rule</w:t>
              <w:br/>
            </w:r>
            <w:r>
              <w:rPr>
                <w:rFonts w:ascii="Arial" w:hAnsi="Arial" w:eastAsia="Arial"/>
                <w:b w:val="0"/>
                <w:color w:val="222222"/>
                <w:sz w:val="18"/>
              </w:rPr>
              <w:t>This Book defines solution architecture. It does not regenerate module FTS tables, field catalogs, or vendor benchmark comparisons.</w:t>
            </w:r>
          </w:p>
        </w:tc>
        <w:trPr>
          <w:tblHeader/>
        </w:trPr>
      </w:tr>
    </w:tbl>
    <w:p/>
    <w:p>
      <w:pPr>
        <w:pStyle w:val="Heading1"/>
        <w:spacing w:before="180" w:after="80"/>
      </w:pPr>
      <w:r>
        <w:rPr>
          <w:rFonts w:ascii="Arial" w:hAnsi="Arial" w:eastAsia="Arial"/>
          <w:b/>
          <w:color w:val="1F4E79"/>
          <w:sz w:val="32"/>
        </w:rPr>
        <w:t>1.1 Architecture Vision</w:t>
      </w:r>
    </w:p>
    <w:p>
      <w:pPr>
        <w:pStyle w:val="Heading2"/>
        <w:spacing w:before="180" w:after="80"/>
      </w:pPr>
      <w:r>
        <w:rPr>
          <w:rFonts w:ascii="Arial" w:hAnsi="Arial" w:eastAsia="Arial"/>
          <w:b/>
          <w:color w:val="1F4E79"/>
          <w:sz w:val="26"/>
        </w:rPr>
        <w:t>1.1.1 ERP Platform Vision</w:t>
      </w:r>
    </w:p>
    <w:p>
      <w:pPr>
        <w:spacing w:line="269" w:lineRule="auto" w:after="60"/>
      </w:pPr>
      <w:r>
        <w:rPr>
          <w:rFonts w:ascii="Arial" w:hAnsi="Arial" w:eastAsia="Arial"/>
          <w:b w:val="0"/>
          <w:color w:val="222222"/>
          <w:sz w:val="18"/>
        </w:rPr>
        <w:t>The ERP platform shall be a unified, scalable, auditable and domain-oriented enterprise system. Every financial, operational, inventory, manufacturing, HR, project, asset and administrative transaction must be traceable from user intent to document lifecycle, workflow decision, accounting impact, inventory impact, notification, integration event and audit record.</w:t>
      </w:r>
    </w:p>
    <w:p>
      <w:pPr>
        <w:spacing w:line="269" w:lineRule="auto" w:after="60"/>
      </w:pPr>
      <w:r>
        <w:rPr>
          <w:rFonts w:ascii="Arial" w:hAnsi="Arial" w:eastAsia="Arial"/>
          <w:b w:val="0"/>
          <w:color w:val="222222"/>
          <w:sz w:val="18"/>
        </w:rPr>
        <w:t>The architectural vision is not only to store ERP data, but to protect enterprise truth. Correctness is measured by the integrity of postings, workflow transitions, permissions, ledgers, reports and audit trails.</w:t>
      </w:r>
    </w:p>
    <w:p>
      <w:pPr>
        <w:pStyle w:val="Heading2"/>
        <w:spacing w:before="180" w:after="80"/>
      </w:pPr>
      <w:r>
        <w:rPr>
          <w:rFonts w:ascii="Arial" w:hAnsi="Arial" w:eastAsia="Arial"/>
          <w:b/>
          <w:color w:val="1F4E79"/>
          <w:sz w:val="26"/>
        </w:rPr>
        <w:t>1.1.2 Business Architecture Alignment</w:t>
      </w:r>
    </w:p>
    <w:p>
      <w:pPr>
        <w:spacing w:line="269" w:lineRule="auto" w:after="60"/>
      </w:pPr>
      <w:r>
        <w:rPr>
          <w:rFonts w:ascii="Arial" w:hAnsi="Arial" w:eastAsia="Arial"/>
          <w:b w:val="0"/>
          <w:color w:val="222222"/>
          <w:sz w:val="18"/>
        </w:rPr>
        <w:t>The architecture must support the primary ERP value streams below. Every value stream must connect documents, statuses, permissions, workflows, business rules, integrations, accounting postings, inventory postings and audit trail.</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Value Stream</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Architecture Requirement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Lead-to-Cash</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Convert commercial demand into controlled quotation, sales order, delivery, invoice, collection and revenue recognition.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Procure-to-Pay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Convert internal demand into approved supplier commitment, receipt, vendor bill, matching and payment.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Record-to-Report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Convert transactional postings into reliable GL, subledger, tax, close and financial reporting.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Inventory-to-Valuation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Convert physical stock movements into quantity, value, traceability and reconciliation records.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Plan-to-Produce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Convert demand into production orders, material consumption, WIP, finished goods and production variance.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Hire-to-Pay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Convert employee lifecycle and time/payroll data into payroll liabilities and payments.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Project-to-Profit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Convert project planning, time, procurement and billing into profitability visibility.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Asset-to-Depreciation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Convert acquisition into capitalization, depreciation, transfer, impairment and disposal.</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Issue-to-Resolution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Convert quality, maintenance or service issues into controlled corrective actions.</w:t>
            </w:r>
          </w:p>
        </w:tc>
      </w:tr>
    </w:tbl>
    <w:p/>
    <w:p>
      <w:pPr>
        <w:pStyle w:val="Heading2"/>
        <w:spacing w:before="180" w:after="80"/>
      </w:pPr>
      <w:r>
        <w:rPr>
          <w:rFonts w:ascii="Arial" w:hAnsi="Arial" w:eastAsia="Arial"/>
          <w:b/>
          <w:color w:val="1F4E79"/>
          <w:sz w:val="26"/>
        </w:rPr>
        <w:t>1.1.3 Engineering Architecture Alignment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Engineering Team</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Architecture 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Backend Team</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Domain services, application services, commands, queries, workflow orchestration, posting engine integration and API implementation.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Frontend Team</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Flutter shell, workspaces, forms, lists, object pages, responsive behavior, accessibility and shared components.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Database Team</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Schemas, constraints, indexes, partitions, ledgers, audit tables, outbox tables and reporting structures.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DevOps Team</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CI/CD, environments, containers, monitoring, backups, deployment automation and rollback planning.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Security Team</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RBAC, ABAC, PBAC, data scopes, MFA/SSO, audit security, secrets, API security and risk controls.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QA Team</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Unit, integration, workflow, posting, permission, API contract, regression, performance and security tests.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BA/Product Team</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Rule validation, acceptance criteria, module completeness, workflow correctness and traceability.</w:t>
            </w:r>
          </w:p>
        </w:tc>
      </w:tr>
    </w:tbl>
    <w:p/>
    <w:p>
      <w:pPr>
        <w:pStyle w:val="Heading2"/>
        <w:spacing w:before="180" w:after="80"/>
      </w:pPr>
      <w:r>
        <w:rPr>
          <w:rFonts w:ascii="Arial" w:hAnsi="Arial" w:eastAsia="Arial"/>
          <w:b/>
          <w:color w:val="1F4E79"/>
          <w:sz w:val="26"/>
        </w:rPr>
        <w:t>1.1.4 Architectural North Star</w:t>
      </w:r>
    </w:p>
    <w:p>
      <w:pPr>
        <w:spacing w:after="100"/>
        <w:jc w:val="left"/>
        <w:shd w:fill="F3F6FA"/>
      </w:pPr>
      <w:r>
        <w:rPr>
          <w:rFonts w:ascii="Courier New" w:hAnsi="Courier New" w:eastAsia="Courier New"/>
          <w:b w:val="0"/>
          <w:color w:val="222222"/>
          <w:sz w:val="15"/>
        </w:rPr>
        <w:t>ERP Correctness = Domain Integrity + Posting Integrity + Workflow Integrity + Security Integrity + Audit Integrity</w:t>
      </w:r>
    </w:p>
    <w:p>
      <w:pPr>
        <w:spacing w:line="269" w:lineRule="auto" w:after="60"/>
      </w:pPr>
      <w:r>
        <w:rPr>
          <w:rFonts w:ascii="Arial" w:hAnsi="Arial" w:eastAsia="Arial"/>
          <w:b w:val="0"/>
          <w:color w:val="222222"/>
          <w:sz w:val="18"/>
        </w:rPr>
        <w:t>The platform is considered architecturally correct only when documents cannot move to invalid states, postings cannot bypass validation, inventory cannot move without ledger impact, users cannot exceed permissions and every critical action can be audited.</w:t>
      </w:r>
    </w:p>
    <w:p>
      <w:pPr>
        <w:pStyle w:val="Heading2"/>
        <w:spacing w:before="180" w:after="80"/>
      </w:pPr>
      <w:r>
        <w:rPr>
          <w:rFonts w:ascii="Arial" w:hAnsi="Arial" w:eastAsia="Arial"/>
          <w:b/>
          <w:color w:val="1F4E79"/>
          <w:sz w:val="26"/>
        </w:rPr>
        <w:t>1.1.5 Non-Negotiable Architecture Constraints</w:t>
      </w:r>
    </w:p>
    <w:p>
      <w:pPr>
        <w:pStyle w:val="ListBullet"/>
        <w:spacing w:after="24"/>
        <w:ind w:left="0"/>
      </w:pPr>
      <w:r>
        <w:rPr>
          <w:rFonts w:ascii="Arial" w:hAnsi="Arial" w:eastAsia="Arial"/>
          <w:b w:val="0"/>
          <w:color w:val="222222"/>
          <w:sz w:val="18"/>
        </w:rPr>
        <w:t>No direct database writes from UI or external systems.</w:t>
      </w:r>
    </w:p>
    <w:p>
      <w:pPr>
        <w:pStyle w:val="ListBullet"/>
        <w:spacing w:after="24"/>
        <w:ind w:left="0"/>
      </w:pPr>
      <w:r>
        <w:rPr>
          <w:rFonts w:ascii="Arial" w:hAnsi="Arial" w:eastAsia="Arial"/>
          <w:b w:val="0"/>
          <w:color w:val="222222"/>
          <w:sz w:val="18"/>
        </w:rPr>
        <w:t>No posting without the central posting engine.</w:t>
      </w:r>
    </w:p>
    <w:p>
      <w:pPr>
        <w:pStyle w:val="ListBullet"/>
        <w:spacing w:after="24"/>
        <w:ind w:left="0"/>
      </w:pPr>
      <w:r>
        <w:rPr>
          <w:rFonts w:ascii="Arial" w:hAnsi="Arial" w:eastAsia="Arial"/>
          <w:b w:val="0"/>
          <w:color w:val="222222"/>
          <w:sz w:val="18"/>
        </w:rPr>
        <w:t>No inventory movement without a stock ledger event.</w:t>
      </w:r>
    </w:p>
    <w:p>
      <w:pPr>
        <w:pStyle w:val="ListBullet"/>
        <w:spacing w:after="24"/>
        <w:ind w:left="0"/>
      </w:pPr>
      <w:r>
        <w:rPr>
          <w:rFonts w:ascii="Arial" w:hAnsi="Arial" w:eastAsia="Arial"/>
          <w:b w:val="0"/>
          <w:color w:val="222222"/>
          <w:sz w:val="18"/>
        </w:rPr>
        <w:t>No approval without workflow audit.</w:t>
      </w:r>
    </w:p>
    <w:p>
      <w:pPr>
        <w:pStyle w:val="ListBullet"/>
        <w:spacing w:after="24"/>
        <w:ind w:left="0"/>
      </w:pPr>
      <w:r>
        <w:rPr>
          <w:rFonts w:ascii="Arial" w:hAnsi="Arial" w:eastAsia="Arial"/>
          <w:b w:val="0"/>
          <w:color w:val="222222"/>
          <w:sz w:val="18"/>
        </w:rPr>
        <w:t>No export without permission and audit.</w:t>
      </w:r>
    </w:p>
    <w:p>
      <w:pPr>
        <w:pStyle w:val="ListBullet"/>
        <w:spacing w:after="24"/>
        <w:ind w:left="0"/>
      </w:pPr>
      <w:r>
        <w:rPr>
          <w:rFonts w:ascii="Arial" w:hAnsi="Arial" w:eastAsia="Arial"/>
          <w:b w:val="0"/>
          <w:color w:val="222222"/>
          <w:sz w:val="18"/>
        </w:rPr>
        <w:t>No posted document deletion.</w:t>
      </w:r>
    </w:p>
    <w:p>
      <w:pPr>
        <w:pStyle w:val="ListBullet"/>
        <w:spacing w:after="24"/>
        <w:ind w:left="0"/>
      </w:pPr>
      <w:r>
        <w:rPr>
          <w:rFonts w:ascii="Arial" w:hAnsi="Arial" w:eastAsia="Arial"/>
          <w:b w:val="0"/>
          <w:color w:val="222222"/>
          <w:sz w:val="18"/>
        </w:rPr>
        <w:t>No sensitive field exposure without field-level authorization.</w:t>
      </w:r>
    </w:p>
    <w:p>
      <w:pPr>
        <w:pStyle w:val="ListBullet"/>
        <w:spacing w:after="24"/>
        <w:ind w:left="0"/>
      </w:pPr>
      <w:r>
        <w:rPr>
          <w:rFonts w:ascii="Arial" w:hAnsi="Arial" w:eastAsia="Arial"/>
          <w:b w:val="0"/>
          <w:color w:val="222222"/>
          <w:sz w:val="18"/>
        </w:rPr>
        <w:t>No integration without idempotency and correlation ID.</w:t>
      </w:r>
    </w:p>
    <w:p>
      <w:pPr>
        <w:pStyle w:val="ListBullet"/>
        <w:spacing w:after="24"/>
        <w:ind w:left="0"/>
      </w:pPr>
      <w:r>
        <w:rPr>
          <w:rFonts w:ascii="Arial" w:hAnsi="Arial" w:eastAsia="Arial"/>
          <w:b w:val="0"/>
          <w:color w:val="222222"/>
          <w:sz w:val="18"/>
        </w:rPr>
        <w:t>No module bypassing the shared security kernel.</w:t>
      </w:r>
    </w:p>
    <w:p>
      <w:pPr>
        <w:pStyle w:val="ListBullet"/>
        <w:spacing w:after="24"/>
        <w:ind w:left="0"/>
      </w:pPr>
      <w:r>
        <w:rPr>
          <w:rFonts w:ascii="Arial" w:hAnsi="Arial" w:eastAsia="Arial"/>
          <w:b w:val="0"/>
          <w:color w:val="222222"/>
          <w:sz w:val="18"/>
        </w:rPr>
        <w:t>No business rules hidden only in frontend logic.</w:t>
      </w:r>
    </w:p>
    <w:p>
      <w:pPr>
        <w:pStyle w:val="Heading1"/>
        <w:spacing w:before="180" w:after="80"/>
      </w:pPr>
      <w:r>
        <w:rPr>
          <w:rFonts w:ascii="Arial" w:hAnsi="Arial" w:eastAsia="Arial"/>
          <w:b/>
          <w:color w:val="1F4E79"/>
          <w:sz w:val="32"/>
        </w:rPr>
        <w:t>1.2 Architecture Principles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Principle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Implementation Meaning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Domain-First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Each ERP capability belongs to a bounded context with explicit domain logic. Business rules must live in domain/application layers, not scattered inside UI or SQL scripts.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Modular System Design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The system starts as a modular monolith with strong internal boundaries and future extraction paths. This protects consistency while allowing parallel engineering.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Audit-First Engineering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critical action produces audit evidence: actor, action, timestamp, source, before/after values, reason and correlation ID.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API-First Integration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External systems integrate through governed APIs, webhooks, events or adapters. Direct database integration is forbidden.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Event-Aware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The platform uses events for asynchronous side effects, reporting projections, integrations, notifications and monitoring.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Configuration Before Customization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Approval rules, workflow states, sequences, posting rules, field visibility and notifications are configured before custom code is introduced.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Security by Design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 and scope enforcement is applied across UI, API, application, domain, database and audit layers.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Observability by Design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Logs, metrics, traces, health checks and audit signals are first-class engineering outputs.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Upgrade-Safe Extensibility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Extensions must use metadata, plugins, events, custom fields and published extension points rather than core modifications.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Immutable Posted Transactions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Posted financial or stock-impacting documents are never edited or deleted. Corrections use reversal, return, adjustment, credit/debit note or amendment.</w:t>
            </w:r>
          </w:p>
        </w:tc>
      </w:tr>
    </w:tbl>
    <w:p/>
    <w:p>
      <w:pPr>
        <w:pStyle w:val="Heading1"/>
        <w:spacing w:before="180" w:after="80"/>
      </w:pPr>
      <w:r>
        <w:rPr>
          <w:rFonts w:ascii="Arial" w:hAnsi="Arial" w:eastAsia="Arial"/>
          <w:b/>
          <w:color w:val="1F4E79"/>
          <w:sz w:val="32"/>
        </w:rPr>
        <w:t>1.3 Architecture Goals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Goal</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Engineering Meaning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Functional Completeness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module can be implemented against the FTS without additional architectural assumptions.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Operational Consistency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The same lifecycle, audit and action patterns are reused across modules.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Financial Integrity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No unbalanced, orphaned or source-less journal posting is allowed.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Inventory Integrity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Every physical stock movement is reflected in stock ledger and valuation when applicable.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Traceability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approval, rejection, delegation and state transition is logged with reason and actor.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Security Enforcement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Every UI action, API request and backend command is permission and scope checked.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High Availability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Non-critical integrations do not stop core ERP operations.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Horizontal Scalability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API, workers and reporting processes can scale independently.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Maintainability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Business rules have clear ownership and location.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Implementation Predictability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Teams can implement without inventing architecture patterns.</w:t>
            </w:r>
          </w:p>
        </w:tc>
      </w:tr>
    </w:tbl>
    <w:p/>
    <w:p>
      <w:pPr>
        <w:pStyle w:val="Heading1"/>
        <w:spacing w:before="180" w:after="80"/>
      </w:pPr>
      <w:r>
        <w:rPr>
          <w:rFonts w:ascii="Arial" w:hAnsi="Arial" w:eastAsia="Arial"/>
          <w:b/>
          <w:color w:val="1F4E79"/>
          <w:sz w:val="32"/>
        </w:rPr>
        <w:t>1.4 Quality Attributes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Quality Attribute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Required Strategy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Scalability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Stateless APIs, horizontal app scaling, async workers, queues, read models, partitioned ledgers and report offloading.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Performance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Role workspaces under 3 seconds, draft save under 1 second, standard posting under 3 seconds, heavy reports async.</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Reliability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 idempotency, outbox pattern, transactional commits, retries, DLQ and correlation IDs to avoid lost or duplicate transactions.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Availability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Core ERP continues when email, webhook, export or external integrations fail. Failures are queued or retried.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Security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RBAC, ABAC, PBAC, field security, record scope, MFA, SSO, JWT/OAuth, secrets management and audit logs.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Extensibility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Custom fields, workflows, reports, notifications, approval rules and integrations are supported through governed extension points.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Maintainability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Rules are not duplicated across UI, SQL, reports and controllers. Domain/application layers own behavior.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Observability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Every request includes correlation ID, user, company, module, document, action, elapsed time and status.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critical event answers who, what, when, why, source, impact, approval and device/source.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Testability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 application, workflow, posting, permission, API, integration, security and performance tests are mandatory.</w:t>
            </w:r>
          </w:p>
        </w:tc>
      </w:tr>
    </w:tbl>
    <w:p/>
    <w:p>
      <w:pPr>
        <w:pStyle w:val="Heading1"/>
        <w:spacing w:before="180" w:after="80"/>
      </w:pPr>
      <w:r>
        <w:rPr>
          <w:rFonts w:ascii="Arial" w:hAnsi="Arial" w:eastAsia="Arial"/>
          <w:b/>
          <w:color w:val="1F4E79"/>
          <w:sz w:val="32"/>
        </w:rPr>
        <w:t>1.5 Architecture Style Decision</w:t>
      </w:r>
    </w:p>
    <w:p>
      <w:pPr>
        <w:pStyle w:val="Heading2"/>
        <w:spacing w:before="180" w:after="80"/>
      </w:pPr>
      <w:r>
        <w:rPr>
          <w:rFonts w:ascii="Arial" w:hAnsi="Arial" w:eastAsia="Arial"/>
          <w:b/>
          <w:color w:val="1F4E79"/>
          <w:sz w:val="26"/>
        </w:rPr>
        <w:t>1.5.1 Selected Architecture Style</w:t>
      </w:r>
    </w:p>
    <w:p>
      <w:pPr>
        <w:spacing w:line="269" w:lineRule="auto" w:after="60"/>
      </w:pPr>
      <w:r>
        <w:rPr>
          <w:rFonts w:ascii="Arial" w:hAnsi="Arial" w:eastAsia="Arial"/>
          <w:b w:val="0"/>
          <w:color w:val="222222"/>
          <w:sz w:val="18"/>
        </w:rPr>
        <w:t>Selected Architecture Style: Modular Monolith with Strong Domain Boundaries and Event-Ready Design.</w:t>
      </w:r>
    </w:p>
    <w:p>
      <w:pPr>
        <w:spacing w:after="100"/>
        <w:jc w:val="left"/>
        <w:shd w:fill="F3F6FA"/>
      </w:pPr>
      <w:r>
        <w:rPr>
          <w:rFonts w:ascii="Courier New" w:hAnsi="Courier New" w:eastAsia="Courier New"/>
          <w:b w:val="0"/>
          <w:color w:val="222222"/>
          <w:sz w:val="15"/>
        </w:rPr>
        <w:t>mermaid</w:t>
        <w:br/>
        <w:t>flowchart TB</w:t>
        <w:br/>
        <w:t xml:space="preserve">    UI[Frontend UI]</w:t>
        <w:br/>
        <w:t xml:space="preserve">    API[API Layer]</w:t>
        <w:br/>
        <w:t xml:space="preserve">    APP[Application Layer]</w:t>
        <w:br/>
        <w:t xml:space="preserve">    DOM[Domain Layer]</w:t>
        <w:br/>
        <w:t xml:space="preserve">    INF[Infrastructure Layer]</w:t>
        <w:br/>
        <w:t xml:space="preserve">    DB[(Operational Database)]</w:t>
        <w:br/>
        <w:t xml:space="preserve">    BUS[Event Bus / Queue]</w:t>
        <w:br/>
        <w:t xml:space="preserve">    BI[(Reporting Store)]</w:t>
        <w:br/>
        <w:br/>
        <w:t xml:space="preserve">    UI --&gt; API</w:t>
        <w:br/>
        <w:t xml:space="preserve">    API --&gt; APP</w:t>
        <w:br/>
        <w:t xml:space="preserve">    APP --&gt; DOM</w:t>
        <w:br/>
        <w:t xml:space="preserve">    DOM --&gt; INF</w:t>
        <w:br/>
        <w:t xml:space="preserve">    INF --&gt; DB</w:t>
        <w:br/>
        <w:t xml:space="preserve">    DOM --&gt; BUS</w:t>
        <w:br/>
        <w:t xml:space="preserve">    BUS --&gt; BI</w:t>
      </w:r>
    </w:p>
    <w:p>
      <w:pPr>
        <w:pStyle w:val="Heading2"/>
        <w:spacing w:before="180" w:after="80"/>
      </w:pPr>
      <w:r>
        <w:rPr>
          <w:rFonts w:ascii="Arial" w:hAnsi="Arial" w:eastAsia="Arial"/>
          <w:b/>
          <w:color w:val="1F4E79"/>
          <w:sz w:val="26"/>
        </w:rPr>
        <w:t>1.5.2 Decision Justification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Reason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Explanation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ERP consistency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Accounting, inventory, approval and closing processes require strong transactional consistency.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Faster implementation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Avoids early DevOps and distributed system complexity.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Clear team ownership</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Internal modules can be assigned to parallel teams.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Future-ready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Bounded contexts and events allow later service extraction.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Lower operational risk</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Reduces distributed transaction, cross-service latency and event ordering risks.</w:t>
            </w:r>
          </w:p>
        </w:tc>
      </w:tr>
    </w:tbl>
    <w:p/>
    <w:p>
      <w:pPr>
        <w:pStyle w:val="Heading2"/>
        <w:spacing w:before="180" w:after="80"/>
      </w:pPr>
      <w:r>
        <w:rPr>
          <w:rFonts w:ascii="Arial" w:hAnsi="Arial" w:eastAsia="Arial"/>
          <w:b/>
          <w:color w:val="1F4E79"/>
          <w:sz w:val="26"/>
        </w:rPr>
        <w:t>1.5.3 Rejected Alternative — Full Microservices from Day One</w:t>
      </w:r>
    </w:p>
    <w:p>
      <w:pPr>
        <w:spacing w:line="269" w:lineRule="auto" w:after="60"/>
      </w:pPr>
      <w:r>
        <w:rPr>
          <w:rFonts w:ascii="Arial" w:hAnsi="Arial" w:eastAsia="Arial"/>
          <w:b w:val="0"/>
          <w:color w:val="222222"/>
          <w:sz w:val="18"/>
        </w:rPr>
        <w:t>Full microservices from the first release are rejected because ERP workflows often cross finance, inventory, documents, workflow and security, requiring strong consistency and complex rollback semantics. Starting with many independent services introduces distributed transaction risk before the product domain is stable.</w:t>
      </w:r>
    </w:p>
    <w:p>
      <w:pPr>
        <w:pStyle w:val="Heading2"/>
        <w:spacing w:before="180" w:after="80"/>
      </w:pPr>
      <w:r>
        <w:rPr>
          <w:rFonts w:ascii="Arial" w:hAnsi="Arial" w:eastAsia="Arial"/>
          <w:b/>
          <w:color w:val="1F4E79"/>
          <w:sz w:val="26"/>
        </w:rPr>
        <w:t>1.5.4 Future Microservice Extraction Criteria</w:t>
      </w:r>
    </w:p>
    <w:p>
      <w:pPr>
        <w:pStyle w:val="ListBullet"/>
        <w:spacing w:after="24"/>
        <w:ind w:left="0"/>
      </w:pPr>
      <w:r>
        <w:rPr>
          <w:rFonts w:ascii="Arial" w:hAnsi="Arial" w:eastAsia="Arial"/>
          <w:b w:val="0"/>
          <w:color w:val="222222"/>
          <w:sz w:val="18"/>
        </w:rPr>
        <w:t>A module has independent load patterns.</w:t>
      </w:r>
    </w:p>
    <w:p>
      <w:pPr>
        <w:pStyle w:val="ListBullet"/>
        <w:spacing w:after="24"/>
        <w:ind w:left="0"/>
      </w:pPr>
      <w:r>
        <w:rPr>
          <w:rFonts w:ascii="Arial" w:hAnsi="Arial" w:eastAsia="Arial"/>
          <w:b w:val="0"/>
          <w:color w:val="222222"/>
          <w:sz w:val="18"/>
        </w:rPr>
        <w:t>A module requires independent deployment cadence.</w:t>
      </w:r>
    </w:p>
    <w:p>
      <w:pPr>
        <w:pStyle w:val="ListBullet"/>
        <w:spacing w:after="24"/>
        <w:ind w:left="0"/>
      </w:pPr>
      <w:r>
        <w:rPr>
          <w:rFonts w:ascii="Arial" w:hAnsi="Arial" w:eastAsia="Arial"/>
          <w:b w:val="0"/>
          <w:color w:val="222222"/>
          <w:sz w:val="18"/>
        </w:rPr>
        <w:t>A module has complex external integrations.</w:t>
      </w:r>
    </w:p>
    <w:p>
      <w:pPr>
        <w:pStyle w:val="ListBullet"/>
        <w:spacing w:after="24"/>
        <w:ind w:left="0"/>
      </w:pPr>
      <w:r>
        <w:rPr>
          <w:rFonts w:ascii="Arial" w:hAnsi="Arial" w:eastAsia="Arial"/>
          <w:b w:val="0"/>
          <w:color w:val="222222"/>
          <w:sz w:val="18"/>
        </w:rPr>
        <w:t>A module has independent team ownership.</w:t>
      </w:r>
    </w:p>
    <w:p>
      <w:pPr>
        <w:pStyle w:val="ListBullet"/>
        <w:spacing w:after="24"/>
        <w:ind w:left="0"/>
      </w:pPr>
      <w:r>
        <w:rPr>
          <w:rFonts w:ascii="Arial" w:hAnsi="Arial" w:eastAsia="Arial"/>
          <w:b w:val="0"/>
          <w:color w:val="222222"/>
          <w:sz w:val="18"/>
        </w:rPr>
        <w:t>A module needs different storage or scaling strategy.</w:t>
      </w:r>
    </w:p>
    <w:p>
      <w:pPr>
        <w:pStyle w:val="ListBullet"/>
        <w:spacing w:after="24"/>
        <w:ind w:left="0"/>
      </w:pPr>
      <w:r>
        <w:rPr>
          <w:rFonts w:ascii="Arial" w:hAnsi="Arial" w:eastAsia="Arial"/>
          <w:b w:val="0"/>
          <w:color w:val="222222"/>
          <w:sz w:val="18"/>
        </w:rPr>
        <w:t>The process does not require critical cross-boundary financial transaction consistency.</w:t>
      </w:r>
    </w:p>
    <w:p>
      <w:pPr>
        <w:pStyle w:val="Heading1"/>
        <w:spacing w:before="180" w:after="80"/>
      </w:pPr>
      <w:r>
        <w:rPr>
          <w:rFonts w:ascii="Arial" w:hAnsi="Arial" w:eastAsia="Arial"/>
          <w:b/>
          <w:color w:val="1F4E79"/>
          <w:sz w:val="32"/>
        </w:rPr>
        <w:t>1.6 Architecture Layers</w:t>
      </w:r>
    </w:p>
    <w:p>
      <w:pPr>
        <w:spacing w:after="100"/>
        <w:jc w:val="left"/>
        <w:shd w:fill="F3F6FA"/>
      </w:pPr>
      <w:r>
        <w:rPr>
          <w:rFonts w:ascii="Courier New" w:hAnsi="Courier New" w:eastAsia="Courier New"/>
          <w:b w:val="0"/>
          <w:color w:val="222222"/>
          <w:sz w:val="15"/>
        </w:rPr>
        <w:t>mermaid</w:t>
        <w:br/>
        <w:t>flowchart TB</w:t>
        <w:br/>
        <w:t xml:space="preserve">    Presentation[Presentation Layer]</w:t>
        <w:br/>
        <w:t xml:space="preserve">    API[API Layer]</w:t>
        <w:br/>
        <w:t xml:space="preserve">    Application[Application Layer]</w:t>
        <w:br/>
        <w:t xml:space="preserve">    Domain[Domain Layer]</w:t>
        <w:br/>
        <w:t xml:space="preserve">    Infrastructure[Infrastructure Layer]</w:t>
        <w:br/>
        <w:t xml:space="preserve">    Integration[Integration Layer]</w:t>
        <w:br/>
        <w:t xml:space="preserve">    Reporting[Reporting Layer]</w:t>
        <w:br/>
        <w:t xml:space="preserve">    Security[Security Layer]</w:t>
        <w:br/>
        <w:t xml:space="preserve">    Observability[Observability Layer]</w:t>
        <w:br/>
        <w:br/>
        <w:t xml:space="preserve">    Presentation --&gt; API</w:t>
        <w:br/>
        <w:t xml:space="preserve">    API --&gt; Application</w:t>
        <w:br/>
        <w:t xml:space="preserve">    Application --&gt; Domain</w:t>
        <w:br/>
        <w:t xml:space="preserve">    Domain --&gt; Infrastructure</w:t>
        <w:br/>
        <w:t xml:space="preserve">    Application --&gt; Integration</w:t>
        <w:br/>
        <w:t xml:space="preserve">    Domain --&gt; Reporting</w:t>
        <w:br/>
        <w:t xml:space="preserve">    Security --&gt; API</w:t>
        <w:br/>
        <w:t xml:space="preserve">    Security --&gt; Application</w:t>
        <w:br/>
        <w:t xml:space="preserve">    Observability --&gt; API</w:t>
        <w:br/>
        <w:t xml:space="preserve">    Observability --&gt; Application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Layer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Presentation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Flutter web/desktop/mobile UI, workspaces, object pages, lists, forms, dashboards, responsive behavior and accessibility.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API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Routing, authentication, authorization entry point, DTO mapping, validation, idempotency, response format and rate limiting.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Application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Commands, queries, use cases, orchestration, transaction boundaries, domain invocation, events and audit calls.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Aggregates, entities, value objects, domain services, policies, specifications, invariants and domain events.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Infrastructure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Database access, ORM, repositories, external providers, file storage, queues, cache and communication adapters.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Integration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Banks, tax APIs, shipping, payment gateways, marketplaces, government APIs and identity providers.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Reporting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Operational reports, financial reports, dashboards, read models, scheduled reports and export pipelines.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Security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RBAC, ABAC, PBAC, field masking, record scopes, approval permissions, session security and API security.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Observability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Logging, tracing, metrics, health checks, error analytics and audit monitoring.</w:t>
            </w:r>
          </w:p>
        </w:tc>
      </w:tr>
    </w:tbl>
    <w:p/>
    <w:p>
      <w:pPr>
        <w:pStyle w:val="Heading1"/>
        <w:spacing w:before="180" w:after="80"/>
      </w:pPr>
      <w:r>
        <w:rPr>
          <w:rFonts w:ascii="Arial" w:hAnsi="Arial" w:eastAsia="Arial"/>
          <w:b/>
          <w:color w:val="1F4E79"/>
          <w:sz w:val="32"/>
        </w:rPr>
        <w:t>1.7 Module Interaction Model</w:t>
      </w:r>
    </w:p>
    <w:p>
      <w:pPr>
        <w:spacing w:after="100"/>
        <w:jc w:val="left"/>
        <w:shd w:fill="F3F6FA"/>
      </w:pPr>
      <w:r>
        <w:rPr>
          <w:rFonts w:ascii="Courier New" w:hAnsi="Courier New" w:eastAsia="Courier New"/>
          <w:b w:val="0"/>
          <w:color w:val="222222"/>
          <w:sz w:val="15"/>
        </w:rPr>
        <w:t>mermaid</w:t>
        <w:br/>
        <w:t>graph LR</w:t>
        <w:br/>
        <w:t xml:space="preserve">    Sales --&gt; Inventory</w:t>
        <w:br/>
        <w:t xml:space="preserve">    Sales --&gt; Finance</w:t>
        <w:br/>
        <w:t xml:space="preserve">    Purchasing --&gt; Inventory</w:t>
        <w:br/>
        <w:t xml:space="preserve">    Purchasing --&gt; Finance</w:t>
        <w:br/>
        <w:t xml:space="preserve">    Inventory --&gt; Finance</w:t>
        <w:br/>
        <w:t xml:space="preserve">    Manufacturing --&gt; Inventory</w:t>
        <w:br/>
        <w:t xml:space="preserve">    Manufacturing --&gt; Finance</w:t>
        <w:br/>
        <w:t xml:space="preserve">    HR --&gt; Finance</w:t>
        <w:br/>
        <w:t xml:space="preserve">    Projects --&gt; Sales</w:t>
        <w:br/>
        <w:t xml:space="preserve">    Projects --&gt; Purchasing</w:t>
        <w:br/>
        <w:t xml:space="preserve">    Projects --&gt; Finance</w:t>
        <w:br/>
        <w:t xml:space="preserve">    Assets --&gt; Finance</w:t>
        <w:br/>
        <w:t xml:space="preserve">    Quality --&gt; Inventory</w:t>
        <w:br/>
        <w:t xml:space="preserve">    Maintenance --&gt; Inventory</w:t>
        <w:br/>
        <w:t xml:space="preserve">    Admin --&gt; Security</w:t>
        <w:br/>
        <w:t xml:space="preserve">    Admin --&gt; Workflow</w:t>
        <w:br/>
        <w:t xml:space="preserve">    Admin --&gt; Audit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Interaction Rule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Description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 cannot post GL directly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 sends invoice request to Finance; Finance owns AR posting.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Inventory cannot bypass Finance valuation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Stock valuation events go through posting service.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Purchasing cannot execute vendor payment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AP/Finance controls payment execution.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Manufacturing cannot close without costing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Costing service must calculate WIP, FG and variance before close.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HR cannot broadly expose salary fields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Salary and bank data are governed by field-level security.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Admin does not imply financial posting rights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System administration is separated from finance posting permissions.</w:t>
            </w:r>
          </w:p>
        </w:tc>
      </w:tr>
    </w:tbl>
    <w:p/>
    <w:p>
      <w:pPr>
        <w:pStyle w:val="Heading1"/>
        <w:spacing w:before="180" w:after="80"/>
      </w:pPr>
      <w:r>
        <w:rPr>
          <w:rFonts w:ascii="Arial" w:hAnsi="Arial" w:eastAsia="Arial"/>
          <w:b/>
          <w:color w:val="1F4E79"/>
          <w:sz w:val="32"/>
        </w:rPr>
        <w:t>1.8 Cross-Module Communication</w:t>
      </w:r>
    </w:p>
    <w:p>
      <w:pPr>
        <w:pStyle w:val="Heading2"/>
        <w:spacing w:before="180" w:after="80"/>
      </w:pPr>
      <w:r>
        <w:rPr>
          <w:rFonts w:ascii="Arial" w:hAnsi="Arial" w:eastAsia="Arial"/>
          <w:b/>
          <w:color w:val="1F4E79"/>
          <w:sz w:val="26"/>
        </w:rPr>
        <w:t>1.8.1 Synchronous Calls</w:t>
      </w:r>
    </w:p>
    <w:p>
      <w:pPr>
        <w:spacing w:line="269" w:lineRule="auto" w:after="60"/>
      </w:pPr>
      <w:r>
        <w:rPr>
          <w:rFonts w:ascii="Arial" w:hAnsi="Arial" w:eastAsia="Arial"/>
          <w:b w:val="0"/>
          <w:color w:val="222222"/>
          <w:sz w:val="18"/>
        </w:rPr>
        <w:t>Synchronous calls are allowed only when the user or command requires immediate response: credit check, price calculation, stock availability, permission evaluation, validation and posting command result.</w:t>
      </w:r>
    </w:p>
    <w:p>
      <w:pPr>
        <w:pStyle w:val="Heading2"/>
        <w:spacing w:before="180" w:after="80"/>
      </w:pPr>
      <w:r>
        <w:rPr>
          <w:rFonts w:ascii="Arial" w:hAnsi="Arial" w:eastAsia="Arial"/>
          <w:b/>
          <w:color w:val="1F4E79"/>
          <w:sz w:val="26"/>
        </w:rPr>
        <w:t>1.8.2 Asynchronous Events</w:t>
      </w:r>
    </w:p>
    <w:p>
      <w:pPr>
        <w:spacing w:line="269" w:lineRule="auto" w:after="60"/>
      </w:pPr>
      <w:r>
        <w:rPr>
          <w:rFonts w:ascii="Arial" w:hAnsi="Arial" w:eastAsia="Arial"/>
          <w:b w:val="0"/>
          <w:color w:val="222222"/>
          <w:sz w:val="18"/>
        </w:rPr>
        <w:t>Asynchronous events are used for side effects that should not block the core transaction: notifications, BI projections, external webhooks, external synchronization, large report generation, email delivery and dashboard aggregate updates.</w:t>
      </w:r>
    </w:p>
    <w:p>
      <w:pPr>
        <w:pStyle w:val="Heading2"/>
        <w:spacing w:before="180" w:after="80"/>
      </w:pPr>
      <w:r>
        <w:rPr>
          <w:rFonts w:ascii="Arial" w:hAnsi="Arial" w:eastAsia="Arial"/>
          <w:b/>
          <w:color w:val="1F4E79"/>
          <w:sz w:val="26"/>
        </w:rPr>
        <w:t>1.8.3 Domain Events</w:t>
      </w:r>
    </w:p>
    <w:p>
      <w:pPr>
        <w:spacing w:after="100"/>
        <w:jc w:val="left"/>
        <w:shd w:fill="F3F6FA"/>
      </w:pPr>
      <w:r>
        <w:rPr>
          <w:rFonts w:ascii="Courier New" w:hAnsi="Courier New" w:eastAsia="Courier New"/>
          <w:b w:val="0"/>
          <w:color w:val="222222"/>
          <w:sz w:val="15"/>
        </w:rPr>
        <w:t>SalesOrderConfirmed</w:t>
        <w:br/>
        <w:t>PurchaseOrderApproved</w:t>
        <w:br/>
        <w:t>StockMoveValidated</w:t>
        <w:br/>
        <w:t>JournalEntryPosted</w:t>
        <w:br/>
        <w:t>ProductionOrderReleased</w:t>
        <w:br/>
        <w:t>PayrollPosted</w:t>
      </w:r>
    </w:p>
    <w:p>
      <w:pPr>
        <w:pStyle w:val="Heading2"/>
        <w:spacing w:before="180" w:after="80"/>
      </w:pPr>
      <w:r>
        <w:rPr>
          <w:rFonts w:ascii="Arial" w:hAnsi="Arial" w:eastAsia="Arial"/>
          <w:b/>
          <w:color w:val="1F4E79"/>
          <w:sz w:val="26"/>
        </w:rPr>
        <w:t>1.8.4 Integration Events</w:t>
      </w:r>
    </w:p>
    <w:p>
      <w:pPr>
        <w:spacing w:after="100"/>
        <w:jc w:val="left"/>
        <w:shd w:fill="F3F6FA"/>
      </w:pPr>
      <w:r>
        <w:rPr>
          <w:rFonts w:ascii="Courier New" w:hAnsi="Courier New" w:eastAsia="Courier New"/>
          <w:b w:val="0"/>
          <w:color w:val="222222"/>
          <w:sz w:val="15"/>
        </w:rPr>
        <w:t>CustomerInvoiceReadyForEInvoice</w:t>
        <w:br/>
        <w:t>PaymentSubmittedToBank</w:t>
        <w:br/>
        <w:t>ShipmentReadyForCarrier</w:t>
        <w:br/>
        <w:t>TaxDocumentSubmitted</w:t>
        <w:br/>
        <w:t>ExternalCustomerSynced</w:t>
      </w:r>
    </w:p>
    <w:p>
      <w:pPr>
        <w:pStyle w:val="Heading2"/>
        <w:spacing w:before="180" w:after="80"/>
      </w:pPr>
      <w:r>
        <w:rPr>
          <w:rFonts w:ascii="Arial" w:hAnsi="Arial" w:eastAsia="Arial"/>
          <w:b/>
          <w:color w:val="1F4E79"/>
          <w:sz w:val="26"/>
        </w:rPr>
        <w:t>1.8.5 Outbox Pattern</w:t>
      </w:r>
    </w:p>
    <w:p>
      <w:pPr>
        <w:spacing w:line="269" w:lineRule="auto" w:after="60"/>
      </w:pPr>
      <w:r>
        <w:rPr>
          <w:rFonts w:ascii="Arial" w:hAnsi="Arial" w:eastAsia="Arial"/>
          <w:b w:val="0"/>
          <w:color w:val="222222"/>
          <w:sz w:val="18"/>
        </w:rPr>
        <w:t>Every event that results from a critical transaction must be saved in the outbox table inside the same transaction. A background worker publishes the event and marks it as published after acknowledgement.</w:t>
      </w:r>
    </w:p>
    <w:p>
      <w:pPr>
        <w:spacing w:after="100"/>
        <w:jc w:val="left"/>
        <w:shd w:fill="F3F6FA"/>
      </w:pPr>
      <w:r>
        <w:rPr>
          <w:rFonts w:ascii="Courier New" w:hAnsi="Courier New" w:eastAsia="Courier New"/>
          <w:b w:val="0"/>
          <w:color w:val="222222"/>
          <w:sz w:val="15"/>
        </w:rPr>
        <w:t>mermaid</w:t>
        <w:br/>
        <w:t>sequenceDiagram</w:t>
        <w:br/>
        <w:t xml:space="preserve">    participant API</w:t>
        <w:br/>
        <w:t xml:space="preserve">    participant App</w:t>
        <w:br/>
        <w:t xml:space="preserve">    participant DB</w:t>
        <w:br/>
        <w:t xml:space="preserve">    participant Outbox</w:t>
        <w:br/>
        <w:t xml:space="preserve">    participant Worker</w:t>
        <w:br/>
        <w:t xml:space="preserve">    participant Bus</w:t>
        <w:br/>
        <w:br/>
        <w:t xml:space="preserve">    API-&gt;&gt;App: Post Invoice Command</w:t>
        <w:br/>
        <w:t xml:space="preserve">    App-&gt;&gt;DB: Save Invoice + Journal</w:t>
        <w:br/>
        <w:t xml:space="preserve">    App-&gt;&gt;Outbox: Save InvoicePosted Event</w:t>
        <w:br/>
        <w:t xml:space="preserve">    DB--&gt;&gt;App: Commit</w:t>
        <w:br/>
        <w:t xml:space="preserve">    Worker-&gt;&gt;Outbox: Read Pending Event</w:t>
        <w:br/>
        <w:t xml:space="preserve">    Worker-&gt;&gt;Bus: Publish Event</w:t>
        <w:br/>
        <w:t xml:space="preserve">    Bus--&gt;&gt;Worker: Ack</w:t>
        <w:br/>
        <w:t xml:space="preserve">    Worker-&gt;&gt;Outbox: Mark Published</w:t>
      </w:r>
    </w:p>
    <w:p>
      <w:pPr>
        <w:pStyle w:val="Heading2"/>
        <w:spacing w:before="180" w:after="80"/>
      </w:pPr>
      <w:r>
        <w:rPr>
          <w:rFonts w:ascii="Arial" w:hAnsi="Arial" w:eastAsia="Arial"/>
          <w:b/>
          <w:color w:val="1F4E79"/>
          <w:sz w:val="26"/>
        </w:rPr>
        <w:t>1.8.6 Transaction Boundary Rules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Scenario</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Boundary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Posting invoice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Invoice + journal + tax lines are atomic.</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Delivery validation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Stock move + reservation release + valuation event are atomic.</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Payment posting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Payment + allocation + journal are atomic.</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Workflow approval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State transition + approval audit are atomic.</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External webhook</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Published asynchronously after transaction commit.</w:t>
            </w:r>
          </w:p>
        </w:tc>
      </w:tr>
    </w:tbl>
    <w:p/>
    <w:p>
      <w:pPr>
        <w:pStyle w:val="Heading2"/>
        <w:spacing w:before="180" w:after="80"/>
      </w:pPr>
      <w:r>
        <w:rPr>
          <w:rFonts w:ascii="Arial" w:hAnsi="Arial" w:eastAsia="Arial"/>
          <w:b/>
          <w:color w:val="1F4E79"/>
          <w:sz w:val="26"/>
        </w:rPr>
        <w:t>1.8.7 Failure Handling</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Failure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Required Handling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API validation failure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Return structured validation errors.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failure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Rollback transaction and log failure with correlation ID.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Event publish failure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Keep event in outbox retry state.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Webhook failure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Retry then move to dead-letter queue.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Report failure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Mark report job failed with reason and retry option.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Notification failure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Retry by channel and log delivery failure.</w:t>
            </w:r>
          </w:p>
        </w:tc>
      </w:tr>
    </w:tbl>
    <w:p/>
    <w:p>
      <w:pPr>
        <w:pStyle w:val="Heading1"/>
        <w:spacing w:before="180" w:after="80"/>
      </w:pPr>
      <w:r>
        <w:rPr>
          <w:rFonts w:ascii="Arial" w:hAnsi="Arial" w:eastAsia="Arial"/>
          <w:b/>
          <w:color w:val="1F4E79"/>
          <w:sz w:val="32"/>
        </w:rPr>
        <w:t>1.9 Shared Kernel</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Kernel</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Identity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Users, sessions and authentication context.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Authorization Kernel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RBAC, ABAC, PBAC and data scopes.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State transitions, approvals, delegation and escalation.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Kernel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Accounting and inventory posting orchestration.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Notification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Email, SMS, push and in-app notifications.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Audit Kernel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Audit event recording and query.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Number Sequence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Document numbering and sequence governance.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Attachment Kernel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Files, metadata, virus scan and access control.</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Configuration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Versioned system/module configuration.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Localization Kernel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Language, region, date, number and currency formatting.</w:t>
            </w:r>
          </w:p>
        </w:tc>
      </w:tr>
    </w:tbl>
    <w:p/>
    <w:p>
      <w:pPr>
        <w:spacing w:line="269" w:lineRule="auto" w:after="60"/>
      </w:pPr>
      <w:r>
        <w:rPr>
          <w:rFonts w:ascii="Arial" w:hAnsi="Arial" w:eastAsia="Arial"/>
          <w:b w:val="0"/>
          <w:color w:val="222222"/>
          <w:sz w:val="18"/>
        </w:rPr>
        <w:t>No module may create a private implementation of approval, audit, notification, numbering or security services. All modules must call the shared kernels through approved application interfaces.</w:t>
      </w:r>
    </w:p>
    <w:p>
      <w:pPr>
        <w:pStyle w:val="Heading1"/>
        <w:spacing w:before="180" w:after="80"/>
      </w:pPr>
      <w:r>
        <w:rPr>
          <w:rFonts w:ascii="Arial" w:hAnsi="Arial" w:eastAsia="Arial"/>
          <w:b/>
          <w:color w:val="1F4E79"/>
          <w:sz w:val="32"/>
        </w:rPr>
        <w:t>1.10 Common Services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Service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Consumers</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User Service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Manage users and identity metadata.</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All modules.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Role &amp; Permission Service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Evaluate permissions, scopes and action access.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API, UI, workflow.</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Workflow Service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Manage state transitions and approvals.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All document modules.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Posting Service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Execute financial postings.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Finance, sales, purchasing, inventory, HR, manufacturing.</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Inventory Valuation Service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Calculate stock value and valuation layers.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Inventory, manufacturing, finance.</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Notification Service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Send in-app, email, SMS and push messages.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Workflow and events.</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Reporting Service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Generate reports and exports.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All modules.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Integration Service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Manage external adapters and credentials.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Banks, tax, shipping, payment integrations.</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Audit Service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Record and query audit events.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All modules.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Configuration Service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Manage settings, rules and versioned configuration.</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Admin and all modules.</w:t>
            </w:r>
          </w:p>
        </w:tc>
      </w:tr>
    </w:tbl>
    <w:p/>
    <w:p>
      <w:pPr>
        <w:spacing w:after="100"/>
        <w:jc w:val="left"/>
        <w:shd w:fill="F3F6FA"/>
      </w:pPr>
      <w:r>
        <w:rPr>
          <w:rFonts w:ascii="Courier New" w:hAnsi="Courier New" w:eastAsia="Courier New"/>
          <w:b w:val="0"/>
          <w:color w:val="222222"/>
          <w:sz w:val="15"/>
        </w:rPr>
        <w:t>Dependency Rule:</w:t>
        <w:br/>
        <w:t>Module → Application Service → Common Service</w:t>
        <w:br/>
        <w:br/>
        <w:t>Direct UI access to common services is restricted to safe read-only endpoints when explicitly approved.</w:t>
      </w:r>
    </w:p>
    <w:p>
      <w:pPr>
        <w:pStyle w:val="Heading1"/>
        <w:spacing w:before="180" w:after="80"/>
      </w:pPr>
      <w:r>
        <w:rPr>
          <w:rFonts w:ascii="Arial" w:hAnsi="Arial" w:eastAsia="Arial"/>
          <w:b/>
          <w:color w:val="1F4E79"/>
          <w:sz w:val="32"/>
        </w:rPr>
        <w:t>1.11 Event Architecture</w:t>
      </w:r>
    </w:p>
    <w:p>
      <w:pPr>
        <w:pStyle w:val="Heading2"/>
        <w:spacing w:before="180" w:after="80"/>
      </w:pPr>
      <w:r>
        <w:rPr>
          <w:rFonts w:ascii="Arial" w:hAnsi="Arial" w:eastAsia="Arial"/>
          <w:b/>
          <w:color w:val="1F4E79"/>
          <w:sz w:val="26"/>
        </w:rPr>
        <w:t>1.11.1 Event Categories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Category</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Document Events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SalesOrderConfirmed, PurchaseOrderApproved.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Events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JournalEntryPosted, InventoryValuationPosted.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Events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ApprovalRequested, ApprovalRejected.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Security Events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PermissionChanged, LoginFailed.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Integration Events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BankPaymentSubmitted, TaxInvoiceSent.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Notification Events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NotificationQueued, NotificationFailed.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 Events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SensitiveFieldViewed, ExportPerformed.</w:t>
            </w:r>
          </w:p>
        </w:tc>
      </w:tr>
    </w:tbl>
    <w:p/>
    <w:p>
      <w:pPr>
        <w:pStyle w:val="Heading2"/>
        <w:spacing w:before="180" w:after="80"/>
      </w:pPr>
      <w:r>
        <w:rPr>
          <w:rFonts w:ascii="Arial" w:hAnsi="Arial" w:eastAsia="Arial"/>
          <w:b/>
          <w:color w:val="1F4E79"/>
          <w:sz w:val="26"/>
        </w:rPr>
        <w:t>1.11.2 Event Naming Rules</w:t>
      </w:r>
    </w:p>
    <w:p>
      <w:pPr>
        <w:spacing w:line="269" w:lineRule="auto" w:after="60"/>
      </w:pPr>
      <w:r>
        <w:rPr>
          <w:rFonts w:ascii="Arial" w:hAnsi="Arial" w:eastAsia="Arial"/>
          <w:b w:val="0"/>
          <w:color w:val="222222"/>
          <w:sz w:val="18"/>
        </w:rPr>
        <w:t>Event names must use past-tense business language. Technical or ambiguous names are forbidden.</w:t>
      </w:r>
    </w:p>
    <w:p>
      <w:pPr>
        <w:spacing w:after="100"/>
        <w:jc w:val="left"/>
        <w:shd w:fill="F3F6FA"/>
      </w:pPr>
      <w:r>
        <w:rPr>
          <w:rFonts w:ascii="Courier New" w:hAnsi="Courier New" w:eastAsia="Courier New"/>
          <w:b w:val="0"/>
          <w:color w:val="222222"/>
          <w:sz w:val="15"/>
        </w:rPr>
        <w:t>Good:</w:t>
        <w:br/>
        <w:t>InvoicePosted</w:t>
        <w:br/>
        <w:t>PaymentMatched</w:t>
        <w:br/>
        <w:t>GoodsReceived</w:t>
        <w:br/>
        <w:t>StockAdjusted</w:t>
        <w:br/>
        <w:t>PayrollApproved</w:t>
        <w:br/>
        <w:br/>
        <w:t>Forbidden:</w:t>
        <w:br/>
        <w:t>UpdateDone</w:t>
        <w:br/>
        <w:t>ProcessFinished</w:t>
        <w:br/>
        <w:t>DataChanged</w:t>
      </w:r>
    </w:p>
    <w:p>
      <w:pPr>
        <w:pStyle w:val="Heading2"/>
        <w:spacing w:before="180" w:after="80"/>
      </w:pPr>
      <w:r>
        <w:rPr>
          <w:rFonts w:ascii="Arial" w:hAnsi="Arial" w:eastAsia="Arial"/>
          <w:b/>
          <w:color w:val="1F4E79"/>
          <w:sz w:val="26"/>
        </w:rPr>
        <w:t>1.11.3 Event Schema Standard</w:t>
      </w:r>
    </w:p>
    <w:p>
      <w:pPr>
        <w:spacing w:after="100"/>
        <w:jc w:val="left"/>
        <w:shd w:fill="F3F6FA"/>
      </w:pPr>
      <w:r>
        <w:rPr>
          <w:rFonts w:ascii="Courier New" w:hAnsi="Courier New" w:eastAsia="Courier New"/>
          <w:b w:val="0"/>
          <w:color w:val="222222"/>
          <w:sz w:val="15"/>
        </w:rPr>
        <w:t>{</w:t>
        <w:br/>
        <w:t xml:space="preserve">  "event_id": "uuid",</w:t>
        <w:br/>
        <w:t xml:space="preserve">  "event_type": "InvoicePosted",</w:t>
        <w:br/>
        <w:t xml:space="preserve">  "event_version": 1,</w:t>
        <w:br/>
        <w:t xml:space="preserve">  "occurred_at": "2026-07-07T00:00:00Z",</w:t>
        <w:br/>
        <w:t xml:space="preserve">  "company_id": "uuid",</w:t>
        <w:br/>
        <w:t xml:space="preserve">  "branch_id": "uuid",</w:t>
        <w:br/>
        <w:t xml:space="preserve">  "user_id": "uuid",</w:t>
        <w:br/>
        <w:t xml:space="preserve">  "correlation_id": "uuid",</w:t>
        <w:br/>
        <w:t xml:space="preserve">  "source_module": "Finance",</w:t>
        <w:br/>
        <w:t xml:space="preserve">  "source_document_type": "CustomerInvoice",</w:t>
        <w:br/>
        <w:t xml:space="preserve">  "source_document_id": "uuid",</w:t>
        <w:br/>
        <w:t xml:space="preserve">  "payload": {}</w:t>
        <w:br/>
        <w:t>}</w:t>
      </w:r>
    </w:p>
    <w:p>
      <w:pPr>
        <w:pStyle w:val="Heading2"/>
        <w:spacing w:before="180" w:after="80"/>
      </w:pPr>
      <w:r>
        <w:rPr>
          <w:rFonts w:ascii="Arial" w:hAnsi="Arial" w:eastAsia="Arial"/>
          <w:b/>
          <w:color w:val="1F4E79"/>
          <w:sz w:val="26"/>
        </w:rPr>
        <w:t>1.11.4 Event Versioning Rules</w:t>
      </w:r>
    </w:p>
    <w:p>
      <w:pPr>
        <w:pStyle w:val="ListBullet"/>
        <w:spacing w:after="24"/>
        <w:ind w:left="0"/>
      </w:pPr>
      <w:r>
        <w:rPr>
          <w:rFonts w:ascii="Arial" w:hAnsi="Arial" w:eastAsia="Arial"/>
          <w:b w:val="0"/>
          <w:color w:val="222222"/>
          <w:sz w:val="18"/>
        </w:rPr>
        <w:t>Breaking changes require a new event version.</w:t>
      </w:r>
    </w:p>
    <w:p>
      <w:pPr>
        <w:pStyle w:val="ListBullet"/>
        <w:spacing w:after="24"/>
        <w:ind w:left="0"/>
      </w:pPr>
      <w:r>
        <w:rPr>
          <w:rFonts w:ascii="Arial" w:hAnsi="Arial" w:eastAsia="Arial"/>
          <w:b w:val="0"/>
          <w:color w:val="222222"/>
          <w:sz w:val="18"/>
        </w:rPr>
        <w:t>Consumers must tolerate unknown fields.</w:t>
      </w:r>
    </w:p>
    <w:p>
      <w:pPr>
        <w:pStyle w:val="ListBullet"/>
        <w:spacing w:after="24"/>
        <w:ind w:left="0"/>
      </w:pPr>
      <w:r>
        <w:rPr>
          <w:rFonts w:ascii="Arial" w:hAnsi="Arial" w:eastAsia="Arial"/>
          <w:b w:val="0"/>
          <w:color w:val="222222"/>
          <w:sz w:val="18"/>
        </w:rPr>
        <w:t>Removing fields is prohibited without deprecation.</w:t>
      </w:r>
    </w:p>
    <w:p>
      <w:pPr>
        <w:pStyle w:val="ListBullet"/>
        <w:spacing w:after="24"/>
        <w:ind w:left="0"/>
      </w:pPr>
      <w:r>
        <w:rPr>
          <w:rFonts w:ascii="Arial" w:hAnsi="Arial" w:eastAsia="Arial"/>
          <w:b w:val="0"/>
          <w:color w:val="222222"/>
          <w:sz w:val="18"/>
        </w:rPr>
        <w:t>An event schema registry is mandatory.</w:t>
      </w:r>
    </w:p>
    <w:p>
      <w:pPr>
        <w:pStyle w:val="Heading2"/>
        <w:spacing w:before="180" w:after="80"/>
      </w:pPr>
      <w:r>
        <w:rPr>
          <w:rFonts w:ascii="Arial" w:hAnsi="Arial" w:eastAsia="Arial"/>
          <w:b/>
          <w:color w:val="1F4E79"/>
          <w:sz w:val="26"/>
        </w:rPr>
        <w:t>1.11.5 Dead Letter Queue</w:t>
      </w:r>
    </w:p>
    <w:p>
      <w:pPr>
        <w:spacing w:line="269" w:lineRule="auto" w:after="60"/>
      </w:pPr>
      <w:r>
        <w:rPr>
          <w:rFonts w:ascii="Arial" w:hAnsi="Arial" w:eastAsia="Arial"/>
          <w:b w:val="0"/>
          <w:color w:val="222222"/>
          <w:sz w:val="18"/>
        </w:rPr>
        <w:t>Events are moved to DLQ when maximum retries are exceeded, schema validation fails, a consumer is unavailable beyond SLA, security validation fails or a destination permanently rejects the message.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DLQ Field</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event_id</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Identify failed event.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reason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Failure reason.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retry_count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Number of attempts.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last_error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Last error payload/message.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reprocess_action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Controlled reprocessing option.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discard_action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Approval-controlled discard option.</w:t>
            </w:r>
          </w:p>
        </w:tc>
      </w:tr>
    </w:tbl>
    <w:p/>
    <w:p>
      <w:pPr>
        <w:pStyle w:val="Heading1"/>
        <w:spacing w:before="180" w:after="80"/>
      </w:pPr>
      <w:r>
        <w:rPr>
          <w:rFonts w:ascii="Arial" w:hAnsi="Arial" w:eastAsia="Arial"/>
          <w:b/>
          <w:color w:val="1F4E79"/>
          <w:sz w:val="32"/>
        </w:rPr>
        <w:t>1.12 Architecture Diagrams</w:t>
      </w:r>
    </w:p>
    <w:p>
      <w:pPr>
        <w:pStyle w:val="Heading2"/>
        <w:spacing w:before="180" w:after="80"/>
      </w:pPr>
      <w:r>
        <w:rPr>
          <w:rFonts w:ascii="Arial" w:hAnsi="Arial" w:eastAsia="Arial"/>
          <w:b/>
          <w:color w:val="1F4E79"/>
          <w:sz w:val="26"/>
        </w:rPr>
        <w:t>1.12.1 Context Diagram</w:t>
      </w:r>
    </w:p>
    <w:p>
      <w:pPr>
        <w:spacing w:after="100"/>
        <w:jc w:val="left"/>
        <w:shd w:fill="F3F6FA"/>
      </w:pPr>
      <w:r>
        <w:rPr>
          <w:rFonts w:ascii="Courier New" w:hAnsi="Courier New" w:eastAsia="Courier New"/>
          <w:b w:val="0"/>
          <w:color w:val="222222"/>
          <w:sz w:val="15"/>
        </w:rPr>
        <w:t>mermaid</w:t>
        <w:br/>
        <w:t>flowchart LR</w:t>
        <w:br/>
        <w:t xml:space="preserve">    Users[ERP Users]</w:t>
        <w:br/>
        <w:t xml:space="preserve">    ERP[Enterprise ERP Platform]</w:t>
        <w:br/>
        <w:t xml:space="preserve">    Banks[Banks]</w:t>
        <w:br/>
        <w:t xml:space="preserve">    Tax[Tax Authorities]</w:t>
        <w:br/>
        <w:t xml:space="preserve">    Shipping[Shipping Providers]</w:t>
        <w:br/>
        <w:t xml:space="preserve">    BI[BI Platform]</w:t>
        <w:br/>
        <w:t xml:space="preserve">    IdP[Identity Provider]</w:t>
        <w:br/>
        <w:t xml:space="preserve">    Email[Email/SMS/Push Providers]</w:t>
        <w:br/>
        <w:t xml:space="preserve">    Marketplace[External Marketplace / eCommerce]</w:t>
        <w:br/>
        <w:br/>
        <w:t xml:space="preserve">    Users --&gt; ERP</w:t>
        <w:br/>
        <w:t xml:space="preserve">    ERP --&gt; Banks</w:t>
        <w:br/>
        <w:t xml:space="preserve">    ERP --&gt; Tax</w:t>
        <w:br/>
        <w:t xml:space="preserve">    ERP --&gt; Shipping</w:t>
        <w:br/>
        <w:t xml:space="preserve">    ERP --&gt; BI</w:t>
        <w:br/>
        <w:t xml:space="preserve">    ERP --&gt; IdP</w:t>
        <w:br/>
        <w:t xml:space="preserve">    ERP --&gt; Email</w:t>
        <w:br/>
        <w:t xml:space="preserve">    ERP --&gt; Marketplace</w:t>
      </w:r>
    </w:p>
    <w:p>
      <w:pPr>
        <w:pStyle w:val="Heading2"/>
        <w:spacing w:before="180" w:after="80"/>
      </w:pPr>
      <w:r>
        <w:rPr>
          <w:rFonts w:ascii="Arial" w:hAnsi="Arial" w:eastAsia="Arial"/>
          <w:b/>
          <w:color w:val="1F4E79"/>
          <w:sz w:val="26"/>
        </w:rPr>
        <w:t>1.12.2 Container Diagram</w:t>
      </w:r>
    </w:p>
    <w:p>
      <w:pPr>
        <w:spacing w:after="100"/>
        <w:jc w:val="left"/>
        <w:shd w:fill="F3F6FA"/>
      </w:pPr>
      <w:r>
        <w:rPr>
          <w:rFonts w:ascii="Courier New" w:hAnsi="Courier New" w:eastAsia="Courier New"/>
          <w:b w:val="0"/>
          <w:color w:val="222222"/>
          <w:sz w:val="15"/>
        </w:rPr>
        <w:t>mermaid</w:t>
        <w:br/>
        <w:t>flowchart TB</w:t>
        <w:br/>
        <w:t xml:space="preserve">    UI[Flutter Web/Desktop/Mobile]</w:t>
        <w:br/>
        <w:t xml:space="preserve">    Gateway[API Gateway]</w:t>
        <w:br/>
        <w:t xml:space="preserve">    Backend[ERP Backend Application]</w:t>
        <w:br/>
        <w:t xml:space="preserve">    Worker[Background Workers]</w:t>
        <w:br/>
        <w:t xml:space="preserve">    DB[(Operational DB)]</w:t>
        <w:br/>
        <w:t xml:space="preserve">    Cache[(Redis Cache)]</w:t>
        <w:br/>
        <w:t xml:space="preserve">    Queue[(Message Queue)]</w:t>
        <w:br/>
        <w:t xml:space="preserve">    BI[(Reporting Store)]</w:t>
        <w:br/>
        <w:t xml:space="preserve">    Storage[(File Storage)]</w:t>
        <w:br/>
        <w:t xml:space="preserve">    Audit[(Audit Store)]</w:t>
        <w:br/>
        <w:br/>
        <w:t xml:space="preserve">    UI --&gt; Gateway</w:t>
        <w:br/>
        <w:t xml:space="preserve">    Gateway --&gt; Backend</w:t>
        <w:br/>
        <w:t xml:space="preserve">    Backend --&gt; DB</w:t>
        <w:br/>
        <w:t xml:space="preserve">    Backend --&gt; Cache</w:t>
        <w:br/>
        <w:t xml:space="preserve">    Backend --&gt; Queue</w:t>
        <w:br/>
        <w:t xml:space="preserve">    Backend --&gt; Storage</w:t>
        <w:br/>
        <w:t xml:space="preserve">    Backend --&gt; Audit</w:t>
        <w:br/>
        <w:t xml:space="preserve">    Queue --&gt; Worker</w:t>
        <w:br/>
        <w:t xml:space="preserve">    Worker --&gt; DB</w:t>
        <w:br/>
        <w:t xml:space="preserve">    Worker --&gt; BI</w:t>
      </w:r>
    </w:p>
    <w:p>
      <w:pPr>
        <w:pStyle w:val="Heading2"/>
        <w:spacing w:before="180" w:after="80"/>
      </w:pPr>
      <w:r>
        <w:rPr>
          <w:rFonts w:ascii="Arial" w:hAnsi="Arial" w:eastAsia="Arial"/>
          <w:b/>
          <w:color w:val="1F4E79"/>
          <w:sz w:val="26"/>
        </w:rPr>
        <w:t>1.12.3 Component Diagram</w:t>
      </w:r>
    </w:p>
    <w:p>
      <w:pPr>
        <w:spacing w:after="100"/>
        <w:jc w:val="left"/>
        <w:shd w:fill="F3F6FA"/>
      </w:pPr>
      <w:r>
        <w:rPr>
          <w:rFonts w:ascii="Courier New" w:hAnsi="Courier New" w:eastAsia="Courier New"/>
          <w:b w:val="0"/>
          <w:color w:val="222222"/>
          <w:sz w:val="15"/>
        </w:rPr>
        <w:t>mermaid</w:t>
        <w:br/>
        <w:t>flowchart TB</w:t>
        <w:br/>
        <w:t xml:space="preserve">    API[API Controllers]</w:t>
        <w:br/>
        <w:t xml:space="preserve">    Commands[Command Handlers]</w:t>
        <w:br/>
        <w:t xml:space="preserve">    Queries[Query Handlers]</w:t>
        <w:br/>
        <w:t xml:space="preserve">    Domain[Domain Services]</w:t>
        <w:br/>
        <w:t xml:space="preserve">    Policies[Policies &amp; Specifications]</w:t>
        <w:br/>
        <w:t xml:space="preserve">    Repo[Repositories]</w:t>
        <w:br/>
        <w:t xml:space="preserve">    Posting[Posting Engine]</w:t>
        <w:br/>
        <w:t xml:space="preserve">    Workflow[Workflow Engine]</w:t>
        <w:br/>
        <w:t xml:space="preserve">    Audit[Audit Service]</w:t>
        <w:br/>
        <w:t xml:space="preserve">    Events[Event Publisher]</w:t>
        <w:br/>
        <w:br/>
        <w:t xml:space="preserve">    API --&gt; Commands</w:t>
        <w:br/>
        <w:t xml:space="preserve">    API --&gt; Queries</w:t>
        <w:br/>
        <w:t xml:space="preserve">    Commands --&gt; Domain</w:t>
        <w:br/>
        <w:t xml:space="preserve">    Domain --&gt; Policies</w:t>
        <w:br/>
        <w:t xml:space="preserve">    Domain --&gt; Repo</w:t>
        <w:br/>
        <w:t xml:space="preserve">    Domain --&gt; Posting</w:t>
        <w:br/>
        <w:t xml:space="preserve">    Domain --&gt; Workflow</w:t>
        <w:br/>
        <w:t xml:space="preserve">    Commands --&gt; Audit</w:t>
        <w:br/>
        <w:t xml:space="preserve">    Commands --&gt; Events</w:t>
      </w:r>
    </w:p>
    <w:p>
      <w:pPr>
        <w:pStyle w:val="Heading1"/>
        <w:spacing w:before="180" w:after="80"/>
      </w:pPr>
      <w:r>
        <w:rPr>
          <w:rFonts w:ascii="Arial" w:hAnsi="Arial" w:eastAsia="Arial"/>
          <w:b/>
          <w:color w:val="1F4E79"/>
          <w:sz w:val="32"/>
        </w:rPr>
        <w:t>1.13 Architecture Risk Analysis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Risk</w:t>
            </w:r>
          </w:p>
        </w:tc>
        <w:tc>
          <w:tcPr>
            <w:tcW w:type="dxa" w:w="2664"/>
            <w:vAlign w:val="center"/>
            <w:tcMar>
              <w:top w:w="80" w:type="dxa"/>
              <w:left w:w="80" w:type="dxa"/>
              <w:bottom w:w="80" w:type="dxa"/>
              <w:right w:w="80" w:type="dxa"/>
            </w:tcMar>
            <w:shd w:fill="1F4E79"/>
          </w:tcPr>
          <w:p>
            <w:pPr>
              <w:spacing w:after="0"/>
              <w:jc w:val="left"/>
            </w:pPr>
            <w:r/>
            <w:r>
              <w:rPr>
                <w:rFonts w:ascii="Arial" w:hAnsi="Arial" w:eastAsia="Arial"/>
                <w:b/>
                <w:color w:val="FFFFFF"/>
                <w:sz w:val="17"/>
              </w:rPr>
              <w:t>Impact</w:t>
            </w:r>
          </w:p>
        </w:tc>
        <w:tc>
          <w:tcPr>
            <w:tcW w:type="dxa" w:w="2664"/>
            <w:vAlign w:val="center"/>
            <w:tcMar>
              <w:top w:w="80" w:type="dxa"/>
              <w:left w:w="80" w:type="dxa"/>
              <w:bottom w:w="80" w:type="dxa"/>
              <w:right w:w="80" w:type="dxa"/>
            </w:tcMar>
            <w:shd w:fill="1F4E79"/>
          </w:tcPr>
          <w:p>
            <w:pPr>
              <w:spacing w:after="0"/>
              <w:jc w:val="left"/>
            </w:pPr>
            <w:r/>
            <w:r>
              <w:rPr>
                <w:rFonts w:ascii="Arial" w:hAnsi="Arial" w:eastAsia="Arial"/>
                <w:b/>
                <w:color w:val="FFFFFF"/>
                <w:sz w:val="17"/>
              </w:rPr>
              <w:t>Likelihood</w:t>
            </w:r>
          </w:p>
        </w:tc>
        <w:tc>
          <w:tcPr>
            <w:tcW w:type="dxa" w:w="2664"/>
            <w:vAlign w:val="center"/>
            <w:tcMar>
              <w:top w:w="80" w:type="dxa"/>
              <w:left w:w="80" w:type="dxa"/>
              <w:bottom w:w="80" w:type="dxa"/>
              <w:right w:w="80" w:type="dxa"/>
            </w:tcMar>
            <w:shd w:fill="1F4E79"/>
          </w:tcPr>
          <w:p>
            <w:pPr>
              <w:spacing w:after="0"/>
              <w:jc w:val="left"/>
            </w:pPr>
            <w:r/>
            <w:r>
              <w:rPr>
                <w:rFonts w:ascii="Arial" w:hAnsi="Arial" w:eastAsia="Arial"/>
                <w:b/>
                <w:color w:val="FFFFFF"/>
                <w:sz w:val="17"/>
              </w:rPr>
              <w:t>Mitigation</w:t>
            </w:r>
          </w:p>
        </w:tc>
      </w:tr>
      <w:tr>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Posting inconsistencies</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Critical</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Central posting engine, posting test suite, immutable ledgers.</w:t>
            </w:r>
          </w:p>
        </w:tc>
      </w:tr>
      <w:tr>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Module boundary erosion</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Architecture reviews, module contracts, dependency rules.</w:t>
            </w:r>
          </w:p>
        </w:tc>
      </w:tr>
      <w:tr>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Slow reports affect operations</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Reporting store, async reports, materialized views.</w:t>
            </w:r>
          </w:p>
        </w:tc>
      </w:tr>
      <w:tr>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Over-customization</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Extension governance and configuration-first policy.</w:t>
            </w:r>
          </w:p>
        </w:tc>
      </w:tr>
      <w:tr>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Permission leakage</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Critical</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RBAC+ABAC+PBAC, field masking tests, security review.</w:t>
            </w:r>
          </w:p>
        </w:tc>
      </w:tr>
      <w:tr>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Event loss</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Outbox, retries, DLQ, event monitoring.</w:t>
            </w:r>
          </w:p>
        </w:tc>
      </w:tr>
      <w:tr>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Database growth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Partitioning, archiving, retention strategy.</w:t>
            </w:r>
          </w:p>
        </w:tc>
      </w:tr>
      <w:tr>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API abuse</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Rate limiting, OAuth scopes, monitoring.</w:t>
            </w:r>
          </w:p>
        </w:tc>
      </w:tr>
      <w:tr>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Deployment errors</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shd w:fill="F7FBFF"/>
          </w:tcPr>
          <w:p>
            <w:pPr>
              <w:spacing w:after="0"/>
              <w:jc w:val="left"/>
            </w:pPr>
            <w:r/>
            <w:r>
              <w:rPr>
                <w:rFonts w:ascii="Arial" w:hAnsi="Arial" w:eastAsia="Arial"/>
                <w:b w:val="0"/>
                <w:sz w:val="16"/>
              </w:rPr>
              <w:t>CI/CD gates, rollback, staging validation.</w:t>
            </w:r>
          </w:p>
        </w:tc>
      </w:tr>
      <w:tr>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Poor observability</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High</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Medium</w:t>
            </w:r>
          </w:p>
        </w:tc>
        <w:tc>
          <w:tcPr>
            <w:tcW w:type="dxa" w:w="2664"/>
            <w:vAlign w:val="center"/>
            <w:tcMar>
              <w:top w:w="80" w:type="dxa"/>
              <w:left w:w="80" w:type="dxa"/>
              <w:bottom w:w="80" w:type="dxa"/>
              <w:right w:w="80" w:type="dxa"/>
            </w:tcMar>
          </w:tcPr>
          <w:p>
            <w:pPr>
              <w:spacing w:after="0"/>
              <w:jc w:val="left"/>
            </w:pPr>
            <w:r/>
            <w:r>
              <w:rPr>
                <w:rFonts w:ascii="Arial" w:hAnsi="Arial" w:eastAsia="Arial"/>
                <w:b w:val="0"/>
                <w:sz w:val="16"/>
              </w:rPr>
              <w:t>Logs, metrics, traces, dashboards, correlation IDs.</w:t>
            </w:r>
          </w:p>
        </w:tc>
      </w:tr>
    </w:tbl>
    <w:p/>
    <w:p>
      <w:pPr>
        <w:pStyle w:val="Heading1"/>
        <w:spacing w:before="180" w:after="80"/>
      </w:pPr>
      <w:r>
        <w:rPr>
          <w:rFonts w:ascii="Arial" w:hAnsi="Arial" w:eastAsia="Arial"/>
          <w:b/>
          <w:color w:val="1F4E79"/>
          <w:sz w:val="32"/>
        </w:rPr>
        <w:t>1.14 Book 1 Completion Status</w:t>
      </w:r>
    </w:p>
    <w:p>
      <w:pPr>
        <w:pStyle w:val="Heading2"/>
        <w:spacing w:before="180" w:after="80"/>
      </w:pPr>
      <w:r>
        <w:rPr>
          <w:rFonts w:ascii="Arial" w:hAnsi="Arial" w:eastAsia="Arial"/>
          <w:b/>
          <w:color w:val="1F4E79"/>
          <w:sz w:val="26"/>
        </w:rPr>
        <w:t>1.14.1 Completion Status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Item</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Status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Vision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Architecture Principles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Goals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Quality Attributes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Style Decision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Architecture Layers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Module Interaction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Cross-Module Communication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Shared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Common Services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Event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Architecture Diagrams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Risk Analysis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bl>
    <w:p/>
    <w:p>
      <w:pPr>
        <w:pStyle w:val="Heading2"/>
        <w:spacing w:before="180" w:after="80"/>
      </w:pPr>
      <w:r>
        <w:rPr>
          <w:rFonts w:ascii="Arial" w:hAnsi="Arial" w:eastAsia="Arial"/>
          <w:b/>
          <w:color w:val="1F4E79"/>
          <w:sz w:val="26"/>
        </w:rPr>
        <w:t>1.14.2 Coverage Checklist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Requirement from TOC</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Covered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Vision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Architecture Principles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Goals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Quality Attributes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Scalability Strategy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Availability Strategy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Reliability Strategy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Maintainability Strategy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Extensibility Strategy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Deployment Strategy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High-level covered; detailed in Book 9</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Upgrade Strategy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Covered through extensibility and modular design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Technology Stack Decisions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Deferred to Book 11 ADRs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Layers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Dependency Rules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Module Interaction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Cross Module Communication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Shared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Common Services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Event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Architecture Diagrams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Risk Analysis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Trade-off Analysis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Constraints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bl>
    <w:p/>
    <w:p>
      <w:pPr>
        <w:pStyle w:val="Heading2"/>
        <w:spacing w:before="180" w:after="80"/>
      </w:pPr>
      <w:r>
        <w:rPr>
          <w:rFonts w:ascii="Arial" w:hAnsi="Arial" w:eastAsia="Arial"/>
          <w:b/>
          <w:color w:val="1F4E79"/>
          <w:sz w:val="26"/>
        </w:rPr>
        <w:t>1.14.3 Cross-Reference Matrix</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Book 1 Section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Related Previous Volume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Architecture Vision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2 Software Blueprint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Domain-first modularity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Domain Architecture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Module interactions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FTS module organization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and immutable documents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 Volume 3 Finance/Inventory rules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Shared kernel</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2 Software Architecture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Event architecture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API and Integration Architecture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Risk analysis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1 Benchmark gaps + Volume 2 architecture decisions</w:t>
            </w:r>
          </w:p>
        </w:tc>
      </w:tr>
    </w:tbl>
    <w:p/>
    <w:p>
      <w:pPr>
        <w:pStyle w:val="Heading2"/>
        <w:spacing w:before="180" w:after="80"/>
      </w:pPr>
      <w:r>
        <w:rPr>
          <w:rFonts w:ascii="Arial" w:hAnsi="Arial" w:eastAsia="Arial"/>
          <w:b/>
          <w:color w:val="1F4E79"/>
          <w:sz w:val="26"/>
        </w:rPr>
        <w:t>1.14.4 Remaining Books</w:t>
      </w:r>
    </w:p>
    <w:p>
      <w:pPr>
        <w:pStyle w:val="ListBullet"/>
        <w:spacing w:after="24"/>
        <w:ind w:left="0"/>
      </w:pPr>
      <w:r>
        <w:rPr>
          <w:rFonts w:ascii="Arial" w:hAnsi="Arial" w:eastAsia="Arial"/>
          <w:b w:val="0"/>
          <w:color w:val="222222"/>
          <w:sz w:val="18"/>
        </w:rPr>
        <w:t>Book 2 — Backend Architecture</w:t>
      </w:r>
    </w:p>
    <w:p>
      <w:pPr>
        <w:pStyle w:val="ListBullet"/>
        <w:spacing w:after="24"/>
        <w:ind w:left="0"/>
      </w:pPr>
      <w:r>
        <w:rPr>
          <w:rFonts w:ascii="Arial" w:hAnsi="Arial" w:eastAsia="Arial"/>
          <w:b w:val="0"/>
          <w:color w:val="222222"/>
          <w:sz w:val="18"/>
        </w:rPr>
        <w:t>Book 3 — Database Technical Design</w:t>
      </w:r>
    </w:p>
    <w:p>
      <w:pPr>
        <w:pStyle w:val="ListBullet"/>
        <w:spacing w:after="24"/>
        <w:ind w:left="0"/>
      </w:pPr>
      <w:r>
        <w:rPr>
          <w:rFonts w:ascii="Arial" w:hAnsi="Arial" w:eastAsia="Arial"/>
          <w:b w:val="0"/>
          <w:color w:val="222222"/>
          <w:sz w:val="18"/>
        </w:rPr>
        <w:t>Book 4 — API Technical Architecture</w:t>
      </w:r>
    </w:p>
    <w:p>
      <w:pPr>
        <w:pStyle w:val="ListBullet"/>
        <w:spacing w:after="24"/>
        <w:ind w:left="0"/>
      </w:pPr>
      <w:r>
        <w:rPr>
          <w:rFonts w:ascii="Arial" w:hAnsi="Arial" w:eastAsia="Arial"/>
          <w:b w:val="0"/>
          <w:color w:val="222222"/>
          <w:sz w:val="18"/>
        </w:rPr>
        <w:t>Book 5 — Frontend Architecture</w:t>
      </w:r>
    </w:p>
    <w:p>
      <w:pPr>
        <w:pStyle w:val="ListBullet"/>
        <w:spacing w:after="24"/>
        <w:ind w:left="0"/>
      </w:pPr>
      <w:r>
        <w:rPr>
          <w:rFonts w:ascii="Arial" w:hAnsi="Arial" w:eastAsia="Arial"/>
          <w:b w:val="0"/>
          <w:color w:val="222222"/>
          <w:sz w:val="18"/>
        </w:rPr>
        <w:t>Book 6 — UI Component Library</w:t>
      </w:r>
    </w:p>
    <w:p>
      <w:pPr>
        <w:pStyle w:val="ListBullet"/>
        <w:spacing w:after="24"/>
        <w:ind w:left="0"/>
      </w:pPr>
      <w:r>
        <w:rPr>
          <w:rFonts w:ascii="Arial" w:hAnsi="Arial" w:eastAsia="Arial"/>
          <w:b w:val="0"/>
          <w:color w:val="222222"/>
          <w:sz w:val="18"/>
        </w:rPr>
        <w:t>Book 7 — Security Architecture</w:t>
      </w:r>
    </w:p>
    <w:p>
      <w:pPr>
        <w:pStyle w:val="ListBullet"/>
        <w:spacing w:after="24"/>
        <w:ind w:left="0"/>
      </w:pPr>
      <w:r>
        <w:rPr>
          <w:rFonts w:ascii="Arial" w:hAnsi="Arial" w:eastAsia="Arial"/>
          <w:b w:val="0"/>
          <w:color w:val="222222"/>
          <w:sz w:val="18"/>
        </w:rPr>
        <w:t>Book 8 — Performance Architecture</w:t>
      </w:r>
    </w:p>
    <w:p>
      <w:pPr>
        <w:pStyle w:val="ListBullet"/>
        <w:spacing w:after="24"/>
        <w:ind w:left="0"/>
      </w:pPr>
      <w:r>
        <w:rPr>
          <w:rFonts w:ascii="Arial" w:hAnsi="Arial" w:eastAsia="Arial"/>
          <w:b w:val="0"/>
          <w:color w:val="222222"/>
          <w:sz w:val="18"/>
        </w:rPr>
        <w:t>Book 9 — DevOps Architecture</w:t>
      </w:r>
    </w:p>
    <w:p>
      <w:pPr>
        <w:pStyle w:val="ListBullet"/>
        <w:spacing w:after="24"/>
        <w:ind w:left="0"/>
      </w:pPr>
      <w:r>
        <w:rPr>
          <w:rFonts w:ascii="Arial" w:hAnsi="Arial" w:eastAsia="Arial"/>
          <w:b w:val="0"/>
          <w:color w:val="222222"/>
          <w:sz w:val="18"/>
        </w:rPr>
        <w:t>Book 10 — Engineering Standards</w:t>
      </w:r>
    </w:p>
    <w:p>
      <w:pPr>
        <w:pStyle w:val="ListBullet"/>
        <w:spacing w:after="24"/>
        <w:ind w:left="0"/>
      </w:pPr>
      <w:r>
        <w:rPr>
          <w:rFonts w:ascii="Arial" w:hAnsi="Arial" w:eastAsia="Arial"/>
          <w:b w:val="0"/>
          <w:color w:val="222222"/>
          <w:sz w:val="18"/>
        </w:rPr>
        <w:t>Book 11 — Implementation Decision Records ADR</w:t>
      </w:r>
    </w:p>
    <w:p>
      <w:pPr>
        <w:pStyle w:val="ListBullet"/>
        <w:spacing w:after="24"/>
        <w:ind w:left="0"/>
      </w:pPr>
      <w:r>
        <w:rPr>
          <w:rFonts w:ascii="Arial" w:hAnsi="Arial" w:eastAsia="Arial"/>
          <w:b w:val="0"/>
          <w:color w:val="222222"/>
          <w:sz w:val="18"/>
        </w:rPr>
        <w:t>Book 12 — Implementation Readiness Assessment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87878"/>
        <w:sz w:val="16"/>
      </w:rPr>
      <w:t>Volume 4 SDTA — Book 1 Enterprise Solution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2026-07-07T00:20:16.8083095Z</dcterms:created>
  <dcterms:modified xsi:type="dcterms:W3CDTF">2026-07-07T00:20:16.8083095Z</dcterms:modified>
  <category/>
</coreProperties>
</file>