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31CB" w:rsidRPr="008B31CB" w:rsidRDefault="008B31CB" w:rsidP="008B31CB">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sidRPr="008B31CB">
        <w:rPr>
          <w:rFonts w:ascii="Times New Roman" w:eastAsia="Times New Roman" w:hAnsi="Times New Roman" w:cs="Times New Roman"/>
          <w:b/>
          <w:color w:val="000000" w:themeColor="text1"/>
          <w:sz w:val="44"/>
          <w:szCs w:val="44"/>
          <w:lang w:eastAsia="ar-SA"/>
        </w:rPr>
        <w:t>Chapter 7</w:t>
      </w:r>
    </w:p>
    <w:p w:rsidR="008B31CB" w:rsidRPr="008B31CB" w:rsidRDefault="008B31CB" w:rsidP="008B31CB">
      <w:pPr>
        <w:keepNext/>
        <w:tabs>
          <w:tab w:val="num" w:pos="432"/>
        </w:tabs>
        <w:suppressAutoHyphens/>
        <w:spacing w:after="0" w:line="360" w:lineRule="auto"/>
        <w:ind w:left="432" w:hanging="432"/>
        <w:jc w:val="both"/>
        <w:outlineLvl w:val="0"/>
        <w:rPr>
          <w:rFonts w:ascii="Times New Roman" w:eastAsia="Times New Roman" w:hAnsi="Times New Roman" w:cs="Times New Roman"/>
          <w:b/>
          <w:color w:val="000000" w:themeColor="text1"/>
          <w:sz w:val="36"/>
          <w:szCs w:val="36"/>
          <w:lang w:eastAsia="ar-SA"/>
        </w:rPr>
      </w:pPr>
      <w:r w:rsidRPr="008B31CB">
        <w:rPr>
          <w:rFonts w:ascii="Times New Roman" w:eastAsia="Times New Roman" w:hAnsi="Times New Roman" w:cs="Times New Roman"/>
          <w:b/>
          <w:color w:val="000000" w:themeColor="text1"/>
          <w:sz w:val="36"/>
          <w:szCs w:val="36"/>
          <w:lang w:eastAsia="ar-SA"/>
        </w:rPr>
        <w:t>Conclusion And Future Work</w:t>
      </w:r>
    </w:p>
    <w:p w:rsidR="008B31CB" w:rsidRPr="008B31CB" w:rsidRDefault="008B31CB" w:rsidP="008B31CB">
      <w:pPr>
        <w:keepNext/>
        <w:tabs>
          <w:tab w:val="num" w:pos="432"/>
        </w:tabs>
        <w:suppressAutoHyphens/>
        <w:spacing w:after="0" w:line="360" w:lineRule="auto"/>
        <w:ind w:left="432" w:hanging="432"/>
        <w:jc w:val="both"/>
        <w:outlineLvl w:val="0"/>
        <w:rPr>
          <w:rFonts w:ascii="Times New Roman" w:eastAsia="Times New Roman" w:hAnsi="Times New Roman" w:cs="Times New Roman"/>
          <w:b/>
          <w:color w:val="000000" w:themeColor="text1"/>
          <w:sz w:val="28"/>
          <w:szCs w:val="28"/>
          <w:lang w:eastAsia="ar-SA"/>
        </w:rPr>
      </w:pPr>
      <w:r w:rsidRPr="008B31CB">
        <w:rPr>
          <w:rFonts w:ascii="Times New Roman" w:eastAsia="Times New Roman" w:hAnsi="Times New Roman" w:cs="Times New Roman"/>
          <w:b/>
          <w:color w:val="000000" w:themeColor="text1"/>
          <w:sz w:val="28"/>
          <w:szCs w:val="28"/>
          <w:lang w:eastAsia="ar-SA"/>
        </w:rPr>
        <w:t>7.1 Research Summary</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lang w:val="zh-CN" w:eastAsia="zh-CN"/>
        </w:rPr>
      </w:pPr>
      <w:r w:rsidRPr="008B31CB">
        <w:rPr>
          <w:rFonts w:ascii="Times New Roman" w:eastAsia="MS Mincho" w:hAnsi="Times New Roman" w:cs="Times New Roman"/>
          <w:color w:val="000000" w:themeColor="text1"/>
          <w:lang w:val="zh-CN" w:eastAsia="ar-SA"/>
        </w:rPr>
        <w:t>The rapid advancement of artificial intelligence and mobile computing has created new opportunities for developing intelligent agricultural decision-support systems capable of operating directly on edge devices. Nevertheless, many existing computer vision applications for crop identification continue to rely on computationally intensive deep learning architectures and cloud-based inference services, limiting their applicability in rural agricultural environments where internet connectivity, computational resources, and operational costs remain significant challenges. Motivated by these limitations, this research investigated the feasibility of developing an efficient, lightweight, and completely offline mango variety classification system specifically designed for real-world deployment on Android smartphones.</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lang w:val="zh-CN" w:eastAsia="zh-CN"/>
        </w:rPr>
      </w:pP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lang w:val="zh-CN" w:eastAsia="zh-CN"/>
        </w:rPr>
      </w:pPr>
      <w:r w:rsidRPr="008B31CB">
        <w:rPr>
          <w:rFonts w:ascii="Times New Roman" w:eastAsia="MS Mincho" w:hAnsi="Times New Roman" w:cs="Times New Roman"/>
          <w:color w:val="000000" w:themeColor="text1"/>
          <w:lang w:eastAsia="zh-CN"/>
        </w:rPr>
        <w:t xml:space="preserve">The main goal </w:t>
      </w:r>
      <w:r w:rsidRPr="006D3B97">
        <w:rPr>
          <w:rFonts w:ascii="Times New Roman" w:eastAsia="MS Mincho" w:hAnsi="Times New Roman" w:cs="Times New Roman"/>
          <w:color w:val="000000" w:themeColor="text1"/>
          <w:lang w:val="zh-CN" w:eastAsia="zh-CN"/>
        </w:rPr>
        <w:t xml:space="preserve">of this research was to </w:t>
      </w:r>
      <w:r w:rsidRPr="008B31CB">
        <w:rPr>
          <w:rFonts w:ascii="Times New Roman" w:eastAsia="MS Mincho" w:hAnsi="Times New Roman" w:cs="Times New Roman"/>
          <w:color w:val="000000" w:themeColor="text1"/>
          <w:lang w:eastAsia="zh-CN"/>
        </w:rPr>
        <w:t xml:space="preserve">design and developed </w:t>
      </w:r>
      <w:r w:rsidRPr="006D3B97">
        <w:rPr>
          <w:rFonts w:ascii="Times New Roman" w:eastAsia="MS Mincho" w:hAnsi="Times New Roman" w:cs="Times New Roman"/>
          <w:color w:val="000000" w:themeColor="text1"/>
          <w:lang w:val="zh-CN" w:eastAsia="zh-CN"/>
        </w:rPr>
        <w:t>an end-to-end Edge AI framework capable of accurately recognizing indigenous Bangladeshi mango varieties while maintaining low computational complexity suitable for mobile devices. To accomplish this objective, a comprehensive dataset consisting of ten widely cultivated indigenous mango varieties was collected and carefully organized. Prior to model training, all images underwent standardized preprocessing and data augmentation techniques to improve dataset diversity and reduce the likelihood of model overfitting. Dynamic preprocessing pipelines were also developed to ensure compatibility with the varying input requirements of different convolutional neural network architectures.</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lang w:val="zh-CN" w:eastAsia="zh-CN"/>
        </w:rPr>
      </w:pPr>
    </w:p>
    <w:p w:rsidR="008B31CB" w:rsidRPr="006D3B97"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lang w:val="zh-CN" w:eastAsia="zh-CN"/>
        </w:rPr>
      </w:pPr>
      <w:r w:rsidRPr="008B31CB">
        <w:rPr>
          <w:rFonts w:ascii="Times New Roman" w:eastAsia="MS Mincho" w:hAnsi="Times New Roman" w:cs="Times New Roman"/>
          <w:color w:val="000000" w:themeColor="text1"/>
          <w:lang w:eastAsia="zh-CN"/>
        </w:rPr>
        <w:t xml:space="preserve">Following model selection, the optimized MobileNetV3-Small network was converted into TensorFlow Lite format using Float16 post-training quantization. This optimization substantially reduced model size while preserving classification performance, making the model appropriate for real-time smartphone inference. The quantized model was subsequently integrated into a Flutter-based cross-platform mobile application named </w:t>
      </w:r>
      <w:proofErr w:type="spellStart"/>
      <w:r w:rsidRPr="008B31CB">
        <w:rPr>
          <w:rFonts w:ascii="Times New Roman" w:eastAsia="MS Mincho" w:hAnsi="Times New Roman" w:cs="Times New Roman"/>
          <w:color w:val="000000" w:themeColor="text1"/>
          <w:lang w:eastAsia="zh-CN"/>
        </w:rPr>
        <w:t>AmmChini</w:t>
      </w:r>
      <w:proofErr w:type="spellEnd"/>
      <w:r w:rsidRPr="008B31CB">
        <w:rPr>
          <w:rFonts w:ascii="Times New Roman" w:eastAsia="MS Mincho" w:hAnsi="Times New Roman" w:cs="Times New Roman"/>
          <w:color w:val="000000" w:themeColor="text1"/>
          <w:lang w:eastAsia="zh-CN"/>
        </w:rPr>
        <w:t xml:space="preserve"> AI. The application was designed to perform the complete inference pipeline—including image acquisition, preprocessing, TensorFlow Lite inference, confidence estimation, and result visualization—entirely on the local device without requiring any external server, cloud service, or internet connection</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lang w:val="zh-CN" w:eastAsia="zh-CN"/>
        </w:rPr>
      </w:pPr>
    </w:p>
    <w:p w:rsidR="008B31CB" w:rsidRDefault="008B31CB" w:rsidP="008B31CB">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p>
    <w:p w:rsidR="008B31CB" w:rsidRDefault="008B31CB" w:rsidP="008B31CB">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p>
    <w:p w:rsidR="008B31CB" w:rsidRDefault="008B31CB" w:rsidP="008B31CB">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sidRPr="008B31CB">
        <w:rPr>
          <w:rFonts w:ascii="Times New Roman" w:eastAsia="MS Mincho" w:hAnsi="Times New Roman" w:cs="Times New Roman"/>
          <w:b/>
          <w:bCs/>
          <w:color w:val="000000" w:themeColor="text1"/>
          <w:sz w:val="28"/>
          <w:szCs w:val="28"/>
          <w:lang w:eastAsia="ar-SA"/>
        </w:rPr>
        <w:lastRenderedPageBreak/>
        <w:t>7.2 Future Work</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8B31CB">
        <w:rPr>
          <w:rFonts w:ascii="Times New Roman" w:eastAsia="MS Mincho" w:hAnsi="Times New Roman" w:cs="Times New Roman"/>
          <w:color w:val="000000" w:themeColor="text1"/>
          <w:sz w:val="24"/>
          <w:szCs w:val="24"/>
          <w:lang w:eastAsia="ar-SA"/>
        </w:rPr>
        <w:t xml:space="preserve">Although the proposed </w:t>
      </w:r>
      <w:proofErr w:type="spellStart"/>
      <w:r w:rsidRPr="008B31CB">
        <w:rPr>
          <w:rFonts w:ascii="Times New Roman" w:eastAsia="MS Mincho" w:hAnsi="Times New Roman" w:cs="Times New Roman"/>
          <w:color w:val="000000" w:themeColor="text1"/>
          <w:sz w:val="24"/>
          <w:szCs w:val="24"/>
          <w:lang w:eastAsia="ar-SA"/>
        </w:rPr>
        <w:t>AmmChini</w:t>
      </w:r>
      <w:proofErr w:type="spellEnd"/>
      <w:r w:rsidRPr="008B31CB">
        <w:rPr>
          <w:rFonts w:ascii="Times New Roman" w:eastAsia="MS Mincho" w:hAnsi="Times New Roman" w:cs="Times New Roman"/>
          <w:color w:val="000000" w:themeColor="text1"/>
          <w:sz w:val="24"/>
          <w:szCs w:val="24"/>
          <w:lang w:eastAsia="ar-SA"/>
        </w:rPr>
        <w:t xml:space="preserve"> AI system demonstrates promising performance for offline mango variety classification, several opportunities remain for extending the research and improving the overall capabilities of the system. Future developments can focus on expanding the dataset, improving model robustness, incorporating additional computer vision tasks, and integrating advanced Edge AI optimization techniques to support broader agricultural applications</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8B31CB">
        <w:rPr>
          <w:rFonts w:ascii="Times New Roman" w:eastAsia="MS Mincho" w:hAnsi="Times New Roman" w:cs="Times New Roman"/>
          <w:color w:val="000000" w:themeColor="text1"/>
          <w:sz w:val="24"/>
          <w:szCs w:val="24"/>
          <w:lang w:eastAsia="ar-SA"/>
        </w:rPr>
        <w:t>Another promising extension involves incorporating object detection and instance segmentation techniques. Rather than requiring users to manually center a mango before prediction, future systems could automatically detect multiple mangoes within a single image and classify each fruit independently. Such functionality would enable batch analysis during harvesting, packaging, grading, and quality inspection processes, thereby increasing operational efficiency.</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8B31CB">
        <w:rPr>
          <w:rFonts w:ascii="Times New Roman" w:eastAsia="MS Mincho" w:hAnsi="Times New Roman" w:cs="Times New Roman"/>
          <w:color w:val="000000" w:themeColor="text1"/>
          <w:sz w:val="24"/>
          <w:szCs w:val="24"/>
          <w:lang w:eastAsia="ar-SA"/>
        </w:rPr>
        <w:t>Future research may also investigate disease diagnosis and fruit quality assessment within the same application. By combining variety classification with disease detection, ripeness estimation, pest identification, and external defect analysis, the application could evolve into a comprehensive intelligent decision-support platform for mango production. Multi-task learning architectures may allow these related tasks to share common feature representations while maintaining computational efficiency</w:t>
      </w: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8B31CB" w:rsidRPr="008B31CB" w:rsidRDefault="008B31CB" w:rsidP="008B31C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8B31CB">
        <w:rPr>
          <w:rFonts w:ascii="Times New Roman" w:eastAsia="MS Mincho" w:hAnsi="Times New Roman" w:cs="Times New Roman"/>
          <w:color w:val="000000" w:themeColor="text1"/>
          <w:sz w:val="24"/>
          <w:szCs w:val="24"/>
          <w:lang w:eastAsia="ar-SA"/>
        </w:rPr>
        <w:t>Although Float16 quantization achieved an effective balance between model size and prediction accuracy, additional optimization techniques such as Integer (INT8) quantization, quantization-aware training, structured pruning, neural architecture search, and knowledge distillation may further reduce computational requirements without substantial performance degradation. These approaches could facilitate deployment on even lower-end smartphones with limited processing power and memory resources</w:t>
      </w:r>
    </w:p>
    <w:p w:rsidR="0042656E" w:rsidRPr="008B31CB" w:rsidRDefault="0042656E">
      <w:pPr>
        <w:rPr>
          <w:rFonts w:ascii="Times New Roman" w:hAnsi="Times New Roman" w:cs="Times New Roman"/>
        </w:rPr>
      </w:pPr>
    </w:p>
    <w:sectPr w:rsidR="0042656E" w:rsidRPr="008B3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1CB"/>
    <w:rsid w:val="0007232E"/>
    <w:rsid w:val="001510BE"/>
    <w:rsid w:val="0042656E"/>
    <w:rsid w:val="008B31CB"/>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EEF8"/>
  <w15:chartTrackingRefBased/>
  <w15:docId w15:val="{E4B375E1-FCC0-BD41-889F-02D7AE4B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1CB"/>
    <w:pPr>
      <w:spacing w:after="200" w:line="276" w:lineRule="auto"/>
    </w:pPr>
    <w:rPr>
      <w:rFonts w:asciiTheme="majorHAnsi" w:eastAsiaTheme="majorEastAsia" w:hAnsiTheme="majorHAnsi" w:cstheme="majorBidi"/>
      <w:kern w:val="0"/>
      <w:sz w:val="22"/>
      <w:szCs w:val="22"/>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1</cp:revision>
  <dcterms:created xsi:type="dcterms:W3CDTF">2026-08-04T13:38:00Z</dcterms:created>
  <dcterms:modified xsi:type="dcterms:W3CDTF">2026-08-04T13:39:00Z</dcterms:modified>
</cp:coreProperties>
</file>