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F9F37">
      <w:pPr>
        <w:pStyle w:val="3"/>
        <w:jc w:val="both"/>
        <w:rPr>
          <w:rFonts w:hint="default"/>
          <w:sz w:val="36"/>
          <w:szCs w:val="36"/>
          <w:lang w:val="en-US"/>
        </w:rPr>
      </w:pPr>
      <w:r>
        <w:rPr>
          <w:rFonts w:hint="default"/>
          <w:sz w:val="36"/>
          <w:szCs w:val="36"/>
          <w:lang w:val="en-US"/>
        </w:rPr>
        <w:t>Chapter 1</w:t>
      </w:r>
    </w:p>
    <w:p w14:paraId="2B7CEBA6">
      <w:pPr>
        <w:pStyle w:val="3"/>
        <w:jc w:val="both"/>
        <w:rPr>
          <w:rFonts w:hint="default"/>
          <w:sz w:val="32"/>
          <w:szCs w:val="32"/>
          <w:lang w:val="en-US"/>
        </w:rPr>
      </w:pPr>
      <w:r>
        <w:rPr>
          <w:rFonts w:hint="default"/>
          <w:sz w:val="32"/>
          <w:szCs w:val="32"/>
          <w:lang w:val="en-US"/>
        </w:rPr>
        <w:t>Introduction</w:t>
      </w:r>
    </w:p>
    <w:p w14:paraId="35F70039">
      <w:pPr>
        <w:pStyle w:val="3"/>
        <w:jc w:val="both"/>
        <w:rPr>
          <w:sz w:val="28"/>
          <w:szCs w:val="28"/>
        </w:rPr>
      </w:pPr>
      <w:r>
        <w:rPr>
          <w:sz w:val="28"/>
          <w:szCs w:val="28"/>
        </w:rPr>
        <w:t>1.1 Overview</w:t>
      </w:r>
    </w:p>
    <w:p w14:paraId="310558BF">
      <w:pPr>
        <w:jc w:val="both"/>
      </w:pPr>
      <w:r>
        <w:rPr>
          <w:rFonts w:hint="default"/>
          <w:lang w:val="en-US"/>
        </w:rPr>
        <w:t xml:space="preserve">Agriculture remains one of the most important pillars of the economy of Bangladesh. Among the country’s diverse agricultural products, mango </w:t>
      </w:r>
      <w:r>
        <w:t xml:space="preserve"> (</w:t>
      </w:r>
      <w:r>
        <w:rPr>
          <w:rStyle w:val="7"/>
        </w:rPr>
        <w:t>Mangifera indica</w:t>
      </w:r>
      <w:r>
        <w:t xml:space="preserve"> L.)</w:t>
      </w:r>
      <w:r>
        <w:rPr>
          <w:rFonts w:hint="default"/>
          <w:lang w:val="en-US"/>
        </w:rPr>
        <w:t xml:space="preserve"> occupies a unique position due to its high commercial value, nutritional benefits and widespread cultivation across northwestern regions, particulartly Rajshahi and Chapainawabganj. </w:t>
      </w:r>
      <w:r>
        <w:t xml:space="preserve">These regions are renowned for producing numerous indigenous mango varieties, including Amrapali, Langra, Fazlee, Harivanga, Mollika, Katimon, Bari-4, Bari-7, Kanchon Langra, and Nilambori, each possessing distinct physical characteristics, taste profiles, market demand, and economic value [1]. </w:t>
      </w:r>
    </w:p>
    <w:p w14:paraId="0E5F3599">
      <w:pPr>
        <w:jc w:val="both"/>
      </w:pPr>
    </w:p>
    <w:p w14:paraId="2F69D10D">
      <w:pPr>
        <w:jc w:val="both"/>
        <w:rPr>
          <w:rFonts w:hint="default"/>
          <w:lang w:val="en-US"/>
        </w:rPr>
      </w:pPr>
      <w:r>
        <w:rPr>
          <w:rFonts w:hint="default"/>
          <w:lang w:val="en-US"/>
        </w:rPr>
        <w:t xml:space="preserve">Farmers, traders, wholesalers and market inspectors typically identify mango varieties through visual observation based on characterisitcs such as fruit shape, skin color, size, texture, and maturity stage. </w:t>
      </w:r>
      <w:r>
        <w:t>While experienced workers often achieve acceptable classification accuracy, this process remains inherently subjective and inconsistent. Environmental conditions, worker fatigue, varying lighting conditions, and the high visual similarity among several indigenous cultivars frequently result in misclassification, affecting pricing, quality assurance, inventory management, and consumer confidence [2].</w:t>
      </w:r>
      <w:r>
        <w:rPr>
          <w:rFonts w:hint="default"/>
          <w:lang w:val="en-US"/>
        </w:rPr>
        <w:t xml:space="preserve"> These limitations become even most pronounced during peak harvesting seasons, where thousands of mangoes must be sorted within a limited timeframe.</w:t>
      </w:r>
    </w:p>
    <w:p w14:paraId="5E1A6D60">
      <w:pPr>
        <w:jc w:val="both"/>
        <w:rPr>
          <w:rFonts w:hint="default"/>
          <w:lang w:val="en-US"/>
        </w:rPr>
      </w:pPr>
    </w:p>
    <w:p w14:paraId="5659EB10">
      <w:pPr>
        <w:jc w:val="both"/>
        <w:rPr>
          <w:rFonts w:hint="default"/>
          <w:lang w:val="en-US"/>
        </w:rPr>
      </w:pPr>
      <w:r>
        <w:rPr>
          <w:rFonts w:hint="default"/>
          <w:lang w:val="en-US"/>
        </w:rPr>
        <w:t xml:space="preserve">As Bangladesh continues to modernize its agricultural practices, there is an increasing demand for intelligent technologies capable of </w:t>
      </w:r>
      <w:r>
        <w:t>automating these labor-intensive operations while maintaining consistent classification performance.</w:t>
      </w:r>
      <w:r>
        <w:rPr>
          <w:rFonts w:hint="default"/>
          <w:lang w:val="en-US"/>
        </w:rPr>
        <w:t xml:space="preserve"> </w:t>
      </w:r>
      <w:r>
        <w:t>Convolutional Neural Networks (CNNs) have become the dominant approach for visual recognition tasks because of their ability to automatically learn hierarchical feature representations directly from raw images without requiring handcrafted feature engineering. Images captured in the field must be transmitted to remote servers for processing before predictions are returned to the user.</w:t>
      </w:r>
      <w:r>
        <w:rPr>
          <w:rFonts w:hint="default"/>
          <w:lang w:val="en-US"/>
        </w:rPr>
        <w:t xml:space="preserve"> Edge Artificial Intelligence (Edge AI) has recently emerged as an effective solution to this. </w:t>
      </w:r>
    </w:p>
    <w:p w14:paraId="6314FB0C">
      <w:pPr>
        <w:jc w:val="both"/>
        <w:rPr>
          <w:rFonts w:hint="default"/>
          <w:lang w:val="en-US"/>
        </w:rPr>
      </w:pPr>
    </w:p>
    <w:p w14:paraId="756A6156">
      <w:pPr>
        <w:jc w:val="both"/>
      </w:pPr>
      <w:r>
        <w:rPr>
          <w:rFonts w:hint="default"/>
          <w:lang w:val="en-US"/>
        </w:rPr>
        <w:t xml:space="preserve">Mobile devices possess substantially fewer computational resources than desktop workstations and cloud servers. </w:t>
      </w:r>
      <w:r>
        <w:t>Practical deployment requires balancing multiple performance criteria simultaneously, including predictive accuracy, model size, memory consumption, inference latency, computational complexity, and energy efficiency.</w:t>
      </w:r>
      <w:r>
        <w:rPr>
          <w:rFonts w:hint="default"/>
          <w:lang w:val="en-US"/>
        </w:rPr>
        <w:t xml:space="preserve"> Lightweight CNN architectures specifically designed for mobile computing environments</w:t>
      </w:r>
      <w:r>
        <w:t>, such as MobileNet, EfficientNet-Lite, ShuffleNet, and NASNet-Mobile, attempt to achieve this balance by reducing computational overhead while preserving competitive recognition performance [8].</w:t>
      </w:r>
      <w:r>
        <w:rPr>
          <w:rFonts w:hint="default"/>
          <w:lang w:val="en-US"/>
        </w:rPr>
        <w:t xml:space="preserve"> This research investigates the feasability of deploying lightweight deep learning models for automated classification of indigenous Bangladeshi mango varieties on resource constrained mobile devices. The study adopts a comprehensive benchmarking strategy that evaluates </w:t>
      </w:r>
      <w:r>
        <w:t>multiple CNN architectures according to both predictive performance and deployment efficiency.</w:t>
      </w:r>
      <w:r>
        <w:rPr>
          <w:rFonts w:hint="default"/>
          <w:lang w:val="en-US"/>
        </w:rPr>
        <w:t xml:space="preserve"> </w:t>
      </w:r>
      <w:r>
        <w:t>Five transfer learning-based convolutional neural networks—MobileNetV2, MobileNetV3-Small, EfficientNetV2B0, DenseNet121, and NASNetMobile—are trained and evaluated under an identical experimental framework using the publicly available Mangifera2012 dataset.</w:t>
      </w:r>
      <w:r>
        <w:rPr>
          <w:rFonts w:hint="default"/>
          <w:lang w:val="en-US"/>
        </w:rPr>
        <w:t xml:space="preserve"> The benchmarking process compares each architecture based on classification accuracy, </w:t>
      </w:r>
      <w:r>
        <w:t>precision, recall, F1-score, model storage requirements, and inference latency to determine the most appropriate architecture for real-world edge deployment.</w:t>
      </w:r>
    </w:p>
    <w:p w14:paraId="19E9089E">
      <w:pPr>
        <w:jc w:val="both"/>
      </w:pPr>
    </w:p>
    <w:p w14:paraId="60CF061F">
      <w:pPr>
        <w:jc w:val="both"/>
      </w:pPr>
      <w:r>
        <w:rPr>
          <w:rFonts w:hint="default"/>
          <w:lang w:val="en-US"/>
        </w:rPr>
        <w:t xml:space="preserve">Following the comparative evaluation, the selected model undergoes additional deployment-oriented optimization </w:t>
      </w:r>
      <w:r>
        <w:t>through TensorFlow Lite (TFLite) conversion using post-training Float16 quantization.</w:t>
      </w:r>
      <w:r>
        <w:rPr>
          <w:rFonts w:hint="default"/>
          <w:lang w:val="en-US"/>
        </w:rPr>
        <w:t xml:space="preserve"> This optimization reduces storage requirements while preserving classification performance, making the model sitable for execution on modern Android smartphones without requiring specialized AI hardware. </w:t>
      </w:r>
      <w:r>
        <w:t xml:space="preserve">The optimized model is subsequently integrated into a fully functional Flutter-based mobile application named </w:t>
      </w:r>
      <w:r>
        <w:rPr>
          <w:rStyle w:val="9"/>
        </w:rPr>
        <w:t>AmmChini AI</w:t>
      </w:r>
      <w:r>
        <w:t>, which enables users to capture mango images using the device camera or select existing photographs from the gallery and perform entirely offline variety classification directly on the mobile device.</w:t>
      </w:r>
    </w:p>
    <w:p w14:paraId="584FDC88">
      <w:pPr>
        <w:jc w:val="both"/>
        <w:rPr>
          <w:rFonts w:hint="default"/>
          <w:lang w:val="en-US"/>
        </w:rPr>
      </w:pPr>
    </w:p>
    <w:p w14:paraId="56C24AB5"/>
    <w:p w14:paraId="059E46A0">
      <w:pPr>
        <w:pStyle w:val="2"/>
        <w:jc w:val="both"/>
        <w:rPr>
          <w:rFonts w:ascii="Times New Roman" w:hAnsi="Times New Roman" w:cs="Times New Roman"/>
          <w:b/>
          <w:bCs/>
          <w:color w:val="000000" w:themeColor="text1"/>
          <w:sz w:val="28"/>
          <w:szCs w:val="28"/>
          <w14:textFill>
            <w14:solidFill>
              <w14:schemeClr w14:val="tx1"/>
            </w14:solidFill>
          </w14:textFill>
        </w:rPr>
      </w:pPr>
      <w:r>
        <w:rPr>
          <w:rStyle w:val="9"/>
          <w:rFonts w:ascii="Times New Roman" w:hAnsi="Times New Roman" w:cs="Times New Roman"/>
          <w:b/>
          <w:bCs/>
          <w:color w:val="000000" w:themeColor="text1"/>
          <w:sz w:val="28"/>
          <w:szCs w:val="28"/>
          <w14:textFill>
            <w14:solidFill>
              <w14:schemeClr w14:val="tx1"/>
            </w14:solidFill>
          </w14:textFill>
        </w:rPr>
        <w:t>1.2 Background</w:t>
      </w:r>
    </w:p>
    <w:p w14:paraId="1A6CAFAD">
      <w:pPr>
        <w:pStyle w:val="8"/>
        <w:jc w:val="both"/>
        <w:rPr>
          <w:rFonts w:hint="default"/>
          <w:lang w:val="en-US"/>
        </w:rPr>
      </w:pPr>
      <w:r>
        <w:rPr>
          <w:rFonts w:hint="default"/>
          <w:lang w:val="en-US"/>
        </w:rPr>
        <w:t xml:space="preserve">Bangladesh is internationally recognized as one of the major mango producing countries, cultivating numerous indigenous and hybrid varieties that are higly valued in both domestic and international markets [2]. </w:t>
      </w:r>
      <w:r>
        <w:t>The northwestern districts of Bangladesh, particularly Rajshahi and Chapainawabganj, are widely regarded as the country's primary mango-producing regions.</w:t>
      </w:r>
      <w:r>
        <w:rPr>
          <w:rFonts w:hint="default"/>
          <w:lang w:val="en-US"/>
        </w:rPr>
        <w:t xml:space="preserve"> </w:t>
      </w:r>
      <w:r>
        <w:t>These areas produce several commercially important indigenous cultivars, including Amrapali, Langra, Fazlee, Harivanga, Katimon, Mollika, Bari-4, Bari-7, Kanchon Langra, and Nilambori. Each variety exhibits unique characteristics in terms of fruit size, shape, skin texture, aroma, sweetness, fiber content, and market value.</w:t>
      </w:r>
      <w:r>
        <w:rPr>
          <w:rFonts w:hint="default"/>
          <w:lang w:val="en-US"/>
        </w:rPr>
        <w:t xml:space="preserve"> Consequently, accurate identification of mango varieties has become an essential requirement through the post-harvest supply chain.</w:t>
      </w:r>
    </w:p>
    <w:p w14:paraId="30BD6ABA">
      <w:pPr>
        <w:pStyle w:val="8"/>
        <w:jc w:val="both"/>
        <w:rPr>
          <w:rFonts w:hint="default"/>
          <w:lang w:val="en-US"/>
        </w:rPr>
      </w:pPr>
      <w:r>
        <w:rPr>
          <w:rFonts w:hint="default"/>
          <w:lang w:val="en-US"/>
        </w:rPr>
        <w:t xml:space="preserve">Traditionally, mango variety identification in Bangladesh is performed manually </w:t>
      </w:r>
      <w:r>
        <w:t>by experienced farmers, traders, or quality inspectors through visual examination.</w:t>
      </w:r>
      <w:r>
        <w:rPr>
          <w:rFonts w:hint="default"/>
          <w:lang w:val="en-US"/>
        </w:rPr>
        <w:t xml:space="preserve"> The classification process primarily depends on external morphological features </w:t>
      </w:r>
      <w:r>
        <w:t>such as fruit shape, peel color, size, curvature, surface texture, and occasionally aroma.</w:t>
      </w:r>
      <w:r>
        <w:rPr>
          <w:rFonts w:hint="default"/>
          <w:lang w:val="en-US"/>
        </w:rPr>
        <w:t xml:space="preserve"> Individual judgement varies </w:t>
      </w:r>
      <w:r>
        <w:t>considerably depending on expertise, environmental conditions, lighting variations, fatigue, harvesting volume, and fruit maturity.</w:t>
      </w:r>
      <w:r>
        <w:rPr>
          <w:rFonts w:hint="default"/>
          <w:lang w:val="en-US"/>
        </w:rPr>
        <w:t xml:space="preserve"> During the peak harvesting season, </w:t>
      </w:r>
      <w:r>
        <w:t>thousands of mangoes must be sorted within a limited time, making manual inspection increasingly difficult and susceptible to inconsistencies [3].</w:t>
      </w:r>
      <w:r>
        <w:rPr>
          <w:rFonts w:hint="default"/>
          <w:lang w:val="en-US"/>
        </w:rPr>
        <w:t xml:space="preserve"> </w:t>
      </w:r>
    </w:p>
    <w:p w14:paraId="37B3A033">
      <w:pPr>
        <w:pStyle w:val="8"/>
        <w:jc w:val="both"/>
      </w:pPr>
      <w:r>
        <w:rPr>
          <w:rFonts w:hint="default"/>
          <w:lang w:val="en-US"/>
        </w:rPr>
        <w:t xml:space="preserve">The complexity of manual identification becomes more pronounced when distinguishing among indigenous Bangladeshi mango varieties </w:t>
      </w:r>
      <w:r>
        <w:t>exhibiting highly similar morphological characteristics. As a consequence, misclassification frequently occurs, reducing grading accuracy and affecting commercial valuation throughout the supply chain.</w:t>
      </w:r>
    </w:p>
    <w:p w14:paraId="31C3808E">
      <w:pPr>
        <w:pStyle w:val="8"/>
        <w:jc w:val="both"/>
      </w:pPr>
      <w:r>
        <w:t>Deep Learning has revolutionized image classification by enabling neural networks to automatically learn discriminative visual features directly from large image datasets without requiring manually engineered descriptors [4]. Among various deep learning techniques, Convolutional Neural Networks (CNNs) have become the dominant architecture for image understanding because they effectively capture hierarchical spatial information through convolutional feature extraction. Over the past decade, CNN-based systems have demonstrated outstanding performance in numerous agricultural applications, including plant disease diagnosis, fruit maturity estimation, crop classification, weed detection, yield prediction, and fruit quality assessment [5].</w:t>
      </w:r>
    </w:p>
    <w:p w14:paraId="5CE4F20E">
      <w:pPr>
        <w:pStyle w:val="8"/>
        <w:jc w:val="both"/>
        <w:rPr>
          <w:rFonts w:hint="default"/>
          <w:lang w:val="en-US"/>
        </w:rPr>
      </w:pPr>
      <w:r>
        <w:rPr>
          <w:rFonts w:hint="default"/>
          <w:lang w:val="en-US"/>
        </w:rPr>
        <w:t xml:space="preserve">The growing success of CNNs has motivated researchers to investigate their application for mango variety classification. CNN architectures pre trained on large benchmark datasets  such as ImageNet are adapted to agricultural image classification tasks. </w:t>
      </w:r>
      <w:r>
        <w:t>Models including ResNet, DenseNet, EfficientNet, Inception, and MobileNet have achieved promising classification accuracy under controlled laboratory environments [6].</w:t>
      </w:r>
    </w:p>
    <w:p w14:paraId="32782F0D">
      <w:pPr>
        <w:pStyle w:val="8"/>
        <w:jc w:val="both"/>
      </w:pPr>
      <w:r>
        <w:t>Modern high-performance CNN architectures generally contain millions of trainable parameters and require substantial computational resources, large memory capacity, and specialized Graphics Processing Units (GPUs) to perform efficient inference. Such computational requirements are readily available in research laboratories and cloud computing infrastructures but are rarely accessible in rural agricultural settings where most mango production takes place. Consequently, cloud-based inference has become the predominant deployment strategy, where captured images are transmitted to remote servers for prediction before the classification result is returned to the user's device.</w:t>
      </w:r>
    </w:p>
    <w:p w14:paraId="44CF7299">
      <w:pPr>
        <w:pStyle w:val="8"/>
        <w:jc w:val="both"/>
      </w:pPr>
      <w:r>
        <w:t>Although cloud computing provides virtually unlimited computational resources, its dependence on continuous internet connectivity introduces several practical limitations. Network latency increases prediction time, reducing the responsiveness required for real-time field operations. Data transmission also increases communication costs while creating potential privacy and security concerns associated with transferring agricultural images to external servers. More importantly, many rural orchards in Bangladesh experience unstable or limited internet connectivity, making cloud-dependent intelligent systems unreliable during actual harvesting operations [7]. These limitations create a significant gap between laboratory research and practical field deployment.</w:t>
      </w:r>
    </w:p>
    <w:p w14:paraId="4CEE1DB5">
      <w:pPr>
        <w:pStyle w:val="8"/>
        <w:jc w:val="both"/>
      </w:pPr>
      <w:r>
        <w:t>Edge Artificial Intelligence (Edge AI) has emerged as a promising paradigm to overcome these deployment challenges by performing inference directly on local computing devices rather than relying on remote cloud infrastructure. Instead of transmitting images through the internet, optimized deep learning models execute entirely on smartphones or embedded systems located near the data source. This localized processing significantly reduces inference latency, eliminates dependence on internet connectivity, improves data privacy, lowers communication costs, and enables continuous operation even in remote agricultural environments [8]. Consequently, Edge AI has become increasingly attractive for precision agriculture applications where immediate decision-making and portability are critical requirements.</w:t>
      </w:r>
    </w:p>
    <w:p w14:paraId="13BDC19C">
      <w:pPr>
        <w:rPr>
          <w:rFonts w:hint="default"/>
          <w:lang w:val="en-US"/>
        </w:rPr>
      </w:pPr>
      <w:r>
        <w:t xml:space="preserve">Lightweight CNN architectures designed specifically for mobile computing environments </w:t>
      </w:r>
      <w:r>
        <w:rPr>
          <w:rFonts w:hint="default"/>
          <w:lang w:val="en-US"/>
        </w:rPr>
        <w:t>that reduce</w:t>
      </w:r>
      <w:r>
        <w:t xml:space="preserve"> computational overhead while maintaining competitive classification accuracy. Architectures such as MobileNetV2, MobileNetV3-Small, EfficientNetV2B0, DenseNet121, and NASNetMobile represent different design philosophies that prioritize this balance between recognition performance and deployment efficiency [9].</w:t>
      </w:r>
      <w:r>
        <w:rPr>
          <w:rFonts w:hint="default"/>
          <w:lang w:val="en-US"/>
        </w:rPr>
        <w:t xml:space="preserve"> </w:t>
      </w:r>
    </w:p>
    <w:p w14:paraId="1C5F07D2">
      <w:pPr>
        <w:pStyle w:val="2"/>
        <w:jc w:val="both"/>
        <w:rPr>
          <w:rFonts w:ascii="Times New Roman" w:hAnsi="Times New Roman" w:cs="Times New Roman"/>
          <w:b/>
          <w:bCs/>
          <w:color w:val="000000" w:themeColor="text1"/>
          <w:sz w:val="28"/>
          <w:szCs w:val="28"/>
          <w14:textFill>
            <w14:solidFill>
              <w14:schemeClr w14:val="tx1"/>
            </w14:solidFill>
          </w14:textFill>
        </w:rPr>
      </w:pPr>
      <w:r>
        <w:rPr>
          <w:rStyle w:val="9"/>
          <w:rFonts w:ascii="Times New Roman" w:hAnsi="Times New Roman" w:cs="Times New Roman"/>
          <w:b/>
          <w:bCs/>
          <w:color w:val="000000" w:themeColor="text1"/>
          <w:sz w:val="28"/>
          <w:szCs w:val="28"/>
          <w14:textFill>
            <w14:solidFill>
              <w14:schemeClr w14:val="tx1"/>
            </w14:solidFill>
          </w14:textFill>
        </w:rPr>
        <w:t>1.3 Problem Statement</w:t>
      </w:r>
    </w:p>
    <w:p w14:paraId="3092DAD8">
      <w:pPr>
        <w:pStyle w:val="8"/>
        <w:jc w:val="both"/>
        <w:rPr>
          <w:rFonts w:hint="default"/>
          <w:lang w:val="en-US"/>
        </w:rPr>
      </w:pPr>
      <w:r>
        <w:rPr>
          <w:rFonts w:hint="default"/>
          <w:lang w:val="en-US"/>
        </w:rPr>
        <w:t xml:space="preserve">Convolutional Neural Networks (CNNs) have demonstrated remarkable success in learning complex visual representations, </w:t>
      </w:r>
      <w:r>
        <w:t>enabling highly accurate recognition of fruits, crops, and plant diseases directly from image data [1].</w:t>
      </w:r>
      <w:r>
        <w:rPr>
          <w:rFonts w:hint="default"/>
          <w:lang w:val="en-US"/>
        </w:rPr>
        <w:t xml:space="preserve"> Neverthless, despite these technological advances, most existing mango classification systems remain confined to research laboratories and cloud based infrastructures, </w:t>
      </w:r>
      <w:r>
        <w:t>limiting their practical applicability in real-world agricultural environments.</w:t>
      </w:r>
      <w:r>
        <w:rPr>
          <w:rFonts w:hint="default"/>
          <w:lang w:val="en-US"/>
        </w:rPr>
        <w:t xml:space="preserve"> </w:t>
      </w:r>
      <w:r>
        <w:t>The gap between high-performance deep learning research and deployable field-ready solutions remains a major challenge</w:t>
      </w:r>
      <w:r>
        <w:rPr>
          <w:rFonts w:hint="default"/>
          <w:lang w:val="en-US"/>
        </w:rPr>
        <w:t xml:space="preserve">. </w:t>
      </w:r>
      <w:r>
        <w:t>State-of-the-art CNN models, including ResNet, DenseNet, EfficientNet, and Vision Transformer-based architectures, achieve outstanding classification performance by employing millions of trainable parameters and deep hierarchical feature extraction mechanisms [2].</w:t>
      </w:r>
      <w:r>
        <w:rPr>
          <w:rFonts w:hint="default"/>
          <w:lang w:val="en-US"/>
        </w:rPr>
        <w:t xml:space="preserve"> </w:t>
      </w:r>
      <w:r>
        <w:t>lthough these models produce excellent predictive accuracy, they demand powerful Graphics Processing Units (GPUs), substantial memory capacity, and high computational throughput during inference. Such hardware requirements are generally unavailable in the smartphones and portable devices commonly used by farmers, traders, and agricultural workers in rural Bangladesh.</w:t>
      </w:r>
      <w:r>
        <w:rPr>
          <w:rFonts w:hint="default"/>
          <w:lang w:val="en-US"/>
        </w:rPr>
        <w:t xml:space="preserve"> </w:t>
      </w:r>
    </w:p>
    <w:p w14:paraId="42DFB63C">
      <w:pPr>
        <w:pStyle w:val="8"/>
        <w:jc w:val="both"/>
      </w:pPr>
      <w:r>
        <w:rPr>
          <w:rFonts w:hint="default"/>
          <w:lang w:val="en-US"/>
        </w:rPr>
        <w:t xml:space="preserve"> </w:t>
      </w:r>
      <w:r>
        <w:t>To overcome these hardware constraints, many existing intelligent agricultural applications rely on cloud-based inference services.</w:t>
      </w:r>
      <w:r>
        <w:rPr>
          <w:rFonts w:hint="default"/>
          <w:lang w:val="en-US"/>
        </w:rPr>
        <w:t xml:space="preserve"> </w:t>
      </w:r>
      <w:r>
        <w:t>While cloud computing effectively removes local computational limitations, it introduces several practical problems.</w:t>
      </w:r>
      <w:r>
        <w:rPr>
          <w:rFonts w:hint="default"/>
          <w:lang w:val="en-US"/>
        </w:rPr>
        <w:t xml:space="preserve"> </w:t>
      </w:r>
      <w:r>
        <w:t>First, prediction latency increases because every inference requires image transmission, server-side processing, and network communication. Second, continuous internet connectivity becomes a mandatory requirement, making these systems unreliable in rural orchards where network coverage is inconsistent or unavailable.</w:t>
      </w:r>
      <w:r>
        <w:rPr>
          <w:rFonts w:hint="default"/>
          <w:lang w:val="en-US"/>
        </w:rPr>
        <w:t xml:space="preserve"> </w:t>
      </w:r>
      <w:r>
        <w:t xml:space="preserve">Third, repeated data transmission increases operational costs while raising concerns regarding data privacy, scalability, and long-term service availability [3]. </w:t>
      </w:r>
    </w:p>
    <w:p w14:paraId="6D19A11B">
      <w:pPr>
        <w:pStyle w:val="8"/>
        <w:jc w:val="both"/>
      </w:pPr>
      <w:r>
        <w:rPr>
          <w:rFonts w:hint="default"/>
          <w:lang w:val="en-US"/>
        </w:rPr>
        <w:t xml:space="preserve">Varieties such as langra and Kanchon Langra, or Bari-4 and Nilambori, possesses subtle differences in shape, </w:t>
      </w:r>
      <w:r>
        <w:t>surface texture, and peel characteristics that are difficult to distinguish using conventional computer vision techniques or manual inspection alone. These fine-grained visual similarities require models capable of extracting discriminative feature representations while maintaining computational efficiency suitable for resource-constrained deployment [4]. Existing studies frequently emphasize maximizing classification accuracy without adequately considering whether the resulting models can realistically operate on commodity smartphones under practical field conditions.</w:t>
      </w:r>
    </w:p>
    <w:p w14:paraId="5E80EB80">
      <w:pPr>
        <w:pStyle w:val="8"/>
        <w:jc w:val="both"/>
      </w:pPr>
      <w:r>
        <w:rPr>
          <w:rFonts w:hint="default"/>
          <w:lang w:val="en-US"/>
        </w:rPr>
        <w:t xml:space="preserve">Another important limitation is the lack of comprehensive development oriented model evaluation. </w:t>
      </w:r>
      <w:r>
        <w:t>Many previous studies compare architectures primarily using classification accuracy while overlooking equally important engineering metrics such as inference latency, memory footprint, storage requirements, and deployment feasibility.</w:t>
      </w:r>
      <w:r>
        <w:rPr>
          <w:rFonts w:hint="default"/>
          <w:lang w:val="en-US"/>
        </w:rPr>
        <w:t xml:space="preserve"> S</w:t>
      </w:r>
      <w:r>
        <w:t>electing a model solely because it achieves the highest accuracy may not result in the most suitable solution for real-world applications.</w:t>
      </w:r>
      <w:r>
        <w:rPr>
          <w:rFonts w:hint="default"/>
          <w:lang w:val="en-US"/>
        </w:rPr>
        <w:t xml:space="preserve"> A model that is marginally more accurate but significantly larger and computationally expensive may perform poorly on mobile hardware, leading to slower response times, </w:t>
      </w:r>
      <w:r>
        <w:t>higher energy consumption, and reduced usability [5]. Furthermore, although TensorFlow Lite and modern mobile AI frameworks have made on-device inference increasingly accessible, relatively few studies have demonstrated a complete end-to-end deployment pipeline specifically designed for indigenous Bangladeshi mango classification.</w:t>
      </w:r>
      <w:r>
        <w:rPr>
          <w:rFonts w:hint="default"/>
          <w:lang w:val="en-US"/>
        </w:rPr>
        <w:t xml:space="preserve"> </w:t>
      </w:r>
      <w:r>
        <w:t>Existing research often concludes after reporting experimental accuracy obtained in desktop environments without validating whether the trained model can be successfully optimized, integrated into a mobile application, and executed entirely offline under real deployment conditions.</w:t>
      </w:r>
    </w:p>
    <w:p w14:paraId="5C8E1216">
      <w:pPr>
        <w:pStyle w:val="8"/>
        <w:jc w:val="both"/>
      </w:pPr>
      <w:r>
        <w:rPr>
          <w:rFonts w:hint="default"/>
          <w:lang w:val="en-US"/>
        </w:rPr>
        <w:t xml:space="preserve">Addressing these limitations requires more than simply identifying the most accurate CNN architecture. Instead, it necessitates a systematic evaluation of multiple </w:t>
      </w:r>
      <w:r>
        <w:t xml:space="preserve">lightweight convolutional neural networks under identical experimental conditions to determine which architecture provides the best trade-off between recognition accuracy and deployment efficiency. </w:t>
      </w:r>
    </w:p>
    <w:p w14:paraId="358EB7EA">
      <w:pPr>
        <w:pStyle w:val="8"/>
        <w:jc w:val="both"/>
        <w:rPr>
          <w:rFonts w:hint="default"/>
          <w:lang w:val="en-US"/>
        </w:rPr>
      </w:pPr>
      <w:r>
        <w:t>Five lightweight transfer learning-based CNN architectures—</w:t>
      </w:r>
      <w:r>
        <w:rPr>
          <w:rStyle w:val="9"/>
        </w:rPr>
        <w:t>MobileNetV2, MobileNetV3-Small, EfficientNetV2B0, DenseNet121, and NASNetMobile</w:t>
      </w:r>
      <w:r>
        <w:t xml:space="preserve">—are benchmarked using identical training and evaluation protocols. </w:t>
      </w:r>
      <w:r>
        <w:rPr>
          <w:rFonts w:hint="default"/>
          <w:lang w:val="en-US"/>
        </w:rPr>
        <w:t>T</w:t>
      </w:r>
      <w:r>
        <w:t xml:space="preserve">he comparison incorporates multiple deployment-oriented performance indicators, including classification accuracy, precision, recall, F1-score, model storage size, and inference latency. Based on this multi-objective evaluation, the selected model is further optimized through </w:t>
      </w:r>
      <w:r>
        <w:rPr>
          <w:rStyle w:val="9"/>
        </w:rPr>
        <w:t>TensorFlow Lite Float16 post-training quantization</w:t>
      </w:r>
      <w:r>
        <w:t xml:space="preserve"> and deployed within a Flutter-based Android application, </w:t>
      </w:r>
      <w:r>
        <w:rPr>
          <w:rStyle w:val="9"/>
        </w:rPr>
        <w:t>AmmChini AI</w:t>
      </w:r>
      <w:r>
        <w:rPr>
          <w:rStyle w:val="9"/>
          <w:rFonts w:hint="default"/>
          <w:lang w:val="en-US"/>
        </w:rPr>
        <w:t>.</w:t>
      </w:r>
      <w:bookmarkStart w:id="0" w:name="_GoBack"/>
      <w:bookmarkEnd w:id="0"/>
    </w:p>
    <w:p w14:paraId="56B20ED5">
      <w:pPr>
        <w:pStyle w:val="8"/>
        <w:jc w:val="both"/>
        <w:rPr>
          <w:rFonts w:hint="default"/>
          <w:lang w:val="en-US"/>
        </w:rPr>
      </w:pPr>
    </w:p>
    <w:p w14:paraId="25192C97">
      <w:pPr>
        <w:pStyle w:val="2"/>
        <w:jc w:val="both"/>
        <w:rPr>
          <w:rFonts w:ascii="Times New Roman" w:hAnsi="Times New Roman" w:cs="Times New Roman"/>
          <w:b/>
          <w:bCs/>
          <w:color w:val="000000" w:themeColor="text1"/>
          <w:sz w:val="28"/>
          <w:szCs w:val="28"/>
          <w14:textFill>
            <w14:solidFill>
              <w14:schemeClr w14:val="tx1"/>
            </w14:solidFill>
          </w14:textFill>
        </w:rPr>
      </w:pPr>
      <w:r>
        <w:rPr>
          <w:rStyle w:val="9"/>
          <w:rFonts w:ascii="Times New Roman" w:hAnsi="Times New Roman" w:cs="Times New Roman"/>
          <w:b/>
          <w:bCs/>
          <w:color w:val="000000" w:themeColor="text1"/>
          <w:sz w:val="28"/>
          <w:szCs w:val="28"/>
          <w14:textFill>
            <w14:solidFill>
              <w14:schemeClr w14:val="tx1"/>
            </w14:solidFill>
          </w14:textFill>
        </w:rPr>
        <w:t>1.4 Research Objectives</w:t>
      </w:r>
    </w:p>
    <w:p w14:paraId="59532889">
      <w:pPr>
        <w:pStyle w:val="4"/>
        <w:numPr>
          <w:ilvl w:val="0"/>
          <w:numId w:val="1"/>
        </w:numPr>
        <w:ind w:left="420" w:leftChars="0" w:hanging="420" w:firstLineChars="0"/>
        <w:jc w:val="both"/>
        <w:rPr>
          <w:b w:val="0"/>
          <w:bCs w:val="0"/>
          <w:sz w:val="24"/>
          <w:szCs w:val="24"/>
        </w:rPr>
      </w:pPr>
      <w:r>
        <w:rPr>
          <w:rStyle w:val="9"/>
          <w:b w:val="0"/>
          <w:bCs w:val="0"/>
          <w:sz w:val="24"/>
          <w:szCs w:val="24"/>
        </w:rPr>
        <w:t>To benchmark multiple lightweight convolutional neural network architectures for mango variety classification.</w:t>
      </w:r>
    </w:p>
    <w:p w14:paraId="7B62684F">
      <w:pPr>
        <w:pStyle w:val="4"/>
        <w:numPr>
          <w:ilvl w:val="0"/>
          <w:numId w:val="1"/>
        </w:numPr>
        <w:ind w:left="420" w:leftChars="0" w:hanging="420" w:firstLineChars="0"/>
        <w:jc w:val="both"/>
        <w:rPr>
          <w:b w:val="0"/>
          <w:bCs w:val="0"/>
        </w:rPr>
      </w:pPr>
      <w:r>
        <w:rPr>
          <w:rStyle w:val="9"/>
          <w:b w:val="0"/>
          <w:bCs w:val="0"/>
          <w:sz w:val="24"/>
          <w:szCs w:val="24"/>
        </w:rPr>
        <w:t>To investigate architecture-specific preprocessing strategies for robust model training.</w:t>
      </w:r>
    </w:p>
    <w:p w14:paraId="2AF60FD3">
      <w:pPr>
        <w:pStyle w:val="4"/>
        <w:numPr>
          <w:ilvl w:val="0"/>
          <w:numId w:val="1"/>
        </w:numPr>
        <w:ind w:left="420" w:leftChars="0" w:hanging="420" w:firstLineChars="0"/>
        <w:jc w:val="both"/>
        <w:rPr>
          <w:b w:val="0"/>
          <w:bCs w:val="0"/>
        </w:rPr>
      </w:pPr>
      <w:r>
        <w:rPr>
          <w:rStyle w:val="9"/>
          <w:b w:val="0"/>
          <w:bCs w:val="0"/>
          <w:sz w:val="24"/>
          <w:szCs w:val="24"/>
        </w:rPr>
        <w:t>To identify the most suitable lightweight CNN architecture for resource-constrained edge devices.</w:t>
      </w:r>
    </w:p>
    <w:p w14:paraId="63BA9AA3">
      <w:pPr>
        <w:pStyle w:val="4"/>
        <w:numPr>
          <w:ilvl w:val="0"/>
          <w:numId w:val="1"/>
        </w:numPr>
        <w:ind w:left="420" w:leftChars="0" w:hanging="420" w:firstLineChars="0"/>
        <w:jc w:val="both"/>
        <w:rPr>
          <w:b w:val="0"/>
          <w:bCs w:val="0"/>
        </w:rPr>
      </w:pPr>
      <w:r>
        <w:rPr>
          <w:rStyle w:val="9"/>
          <w:b w:val="0"/>
          <w:bCs w:val="0"/>
          <w:sz w:val="24"/>
          <w:szCs w:val="24"/>
        </w:rPr>
        <w:t>To optimize the selected deep learning model for mobile deployment using TensorFlow Lite.</w:t>
      </w:r>
    </w:p>
    <w:p w14:paraId="799B586D">
      <w:pPr>
        <w:pStyle w:val="4"/>
        <w:numPr>
          <w:ilvl w:val="0"/>
          <w:numId w:val="1"/>
        </w:numPr>
        <w:ind w:left="420" w:leftChars="0" w:hanging="420" w:firstLineChars="0"/>
        <w:jc w:val="both"/>
      </w:pPr>
      <w:r>
        <w:rPr>
          <w:rStyle w:val="9"/>
          <w:b w:val="0"/>
          <w:bCs w:val="0"/>
          <w:sz w:val="24"/>
          <w:szCs w:val="24"/>
        </w:rPr>
        <w:t>To develop a fully functional Android-based Edge AI application (AmmChini AI).</w:t>
      </w:r>
    </w:p>
    <w:p w14:paraId="35FCE0E7">
      <w:pPr>
        <w:pStyle w:val="4"/>
        <w:numPr>
          <w:ilvl w:val="0"/>
          <w:numId w:val="1"/>
        </w:numPr>
        <w:ind w:left="420" w:leftChars="0" w:hanging="420" w:firstLineChars="0"/>
        <w:jc w:val="both"/>
        <w:rPr>
          <w:b w:val="0"/>
          <w:bCs w:val="0"/>
        </w:rPr>
      </w:pPr>
      <w:r>
        <w:rPr>
          <w:rStyle w:val="9"/>
          <w:b w:val="0"/>
          <w:bCs w:val="0"/>
          <w:sz w:val="24"/>
          <w:szCs w:val="24"/>
        </w:rPr>
        <w:t>To evaluate the practical feasibility of real-time offline mango variety classification on mobile devices.</w:t>
      </w:r>
    </w:p>
    <w:p w14:paraId="39900B6F">
      <w:pPr>
        <w:pStyle w:val="4"/>
        <w:numPr>
          <w:ilvl w:val="0"/>
          <w:numId w:val="0"/>
        </w:numPr>
        <w:ind w:leftChars="0"/>
        <w:jc w:val="both"/>
        <w:rPr>
          <w:b w:val="0"/>
          <w:bCs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angal">
    <w:altName w:val="Segoe Print"/>
    <w:panose1 w:val="02040503050203030202"/>
    <w:charset w:val="01"/>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065CF7"/>
    <w:multiLevelType w:val="singleLevel"/>
    <w:tmpl w:val="2F065CF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087A0E"/>
    <w:rsid w:val="3901790A"/>
    <w:rsid w:val="45087A0E"/>
    <w:rsid w:val="4B8E3128"/>
    <w:rsid w:val="62392EB4"/>
    <w:rsid w:val="71FB0821"/>
    <w:rsid w:val="7E2E4E6A"/>
    <w:rsid w:val="7FB07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kern w:val="0"/>
      <w:sz w:val="24"/>
      <w:szCs w:val="24"/>
      <w:lang w:val="zh-CN" w:eastAsia="en-GB" w:bidi="hi-IN"/>
      <w14:ligatures w14:val="none"/>
    </w:rPr>
  </w:style>
  <w:style w:type="paragraph" w:styleId="2">
    <w:name w:val="heading 1"/>
    <w:basedOn w:val="1"/>
    <w:next w:val="1"/>
    <w:qFormat/>
    <w:uiPriority w:val="9"/>
    <w:pPr>
      <w:keepNext/>
      <w:keepLines/>
      <w:spacing w:before="240"/>
      <w:outlineLvl w:val="0"/>
    </w:pPr>
    <w:rPr>
      <w:rFonts w:cs="Mangal" w:asciiTheme="majorHAnsi" w:hAnsiTheme="majorHAnsi" w:eastAsiaTheme="majorEastAsia"/>
      <w:color w:val="2E54A1" w:themeColor="accent1" w:themeShade="BF"/>
      <w:sz w:val="32"/>
      <w:szCs w:val="29"/>
    </w:rPr>
  </w:style>
  <w:style w:type="paragraph" w:styleId="3">
    <w:name w:val="heading 2"/>
    <w:basedOn w:val="1"/>
    <w:qFormat/>
    <w:uiPriority w:val="9"/>
    <w:pPr>
      <w:spacing w:before="100" w:beforeAutospacing="1" w:after="100" w:afterAutospacing="1"/>
      <w:outlineLvl w:val="1"/>
    </w:pPr>
    <w:rPr>
      <w:b/>
      <w:bCs/>
      <w:sz w:val="36"/>
      <w:szCs w:val="36"/>
    </w:rPr>
  </w:style>
  <w:style w:type="paragraph" w:styleId="4">
    <w:name w:val="heading 3"/>
    <w:basedOn w:val="1"/>
    <w:qFormat/>
    <w:uiPriority w:val="9"/>
    <w:pPr>
      <w:spacing w:before="100" w:beforeAutospacing="1" w:after="100" w:afterAutospacing="1"/>
      <w:outlineLvl w:val="2"/>
    </w:pPr>
    <w:rPr>
      <w:b/>
      <w:bCs/>
      <w:sz w:val="27"/>
      <w:szCs w:val="27"/>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Normal (Web)"/>
    <w:basedOn w:val="1"/>
    <w:unhideWhenUsed/>
    <w:qFormat/>
    <w:uiPriority w:val="99"/>
    <w:pPr>
      <w:spacing w:before="100" w:beforeAutospacing="1" w:after="100" w:afterAutospacing="1"/>
    </w:pPr>
  </w:style>
  <w:style w:type="character" w:styleId="9">
    <w:name w:val="Strong"/>
    <w:basedOn w:val="5"/>
    <w:qFormat/>
    <w:uiPriority w:val="22"/>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1279</Words>
  <Characters>9349</Characters>
  <Lines>0</Lines>
  <Paragraphs>0</Paragraphs>
  <TotalTime>0</TotalTime>
  <ScaleCrop>false</ScaleCrop>
  <LinksUpToDate>false</LinksUpToDate>
  <CharactersWithSpaces>10609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2026-08-05T04:09:00Z</dcterms:created>
  <dc:creator>359_Redwana Jahan</dc:creator>
  <cp:lastModifiedBy>359_Redwana Jahan</cp:lastModifiedBy>
  <dcterms:modified xsi:type="dcterms:W3CDTF">2026-08-05T12:41:42Z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808BABC850EF4DE288A1DF1C160C7A59_11</vt:lpwstr>
  </property>
  <property fmtid="{D5CDD505-2E9C-101B-9397-08002B2CF9AE}" pid="4" name="KSOTemplateDocerSaveRecord">
    <vt:lpwstr>eyJoZGlkIjoiZjgxYTRhNzU5NWExZTRmZTg5NTFhZTRhYTA3MDViMzgiLCJ1c2VySWQiOiIzMTc4NjIyODE4MTExIn0=</vt:lpwstr>
  </property>
</Properties>
</file>