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62B68">
      <w:pPr>
        <w:pStyle w:val="2"/>
        <w:jc w:val="both"/>
        <w:rPr>
          <w:rFonts w:ascii="Times New Roman" w:hAnsi="Times New Roman" w:cs="Times New Roman"/>
          <w:b/>
          <w:bCs/>
          <w:color w:val="000000" w:themeColor="text1"/>
          <w:sz w:val="36"/>
          <w:szCs w:val="36"/>
          <w14:textFill>
            <w14:solidFill>
              <w14:schemeClr w14:val="tx1"/>
            </w14:solidFill>
          </w14:textFill>
        </w:rPr>
      </w:pPr>
      <w:r>
        <w:rPr>
          <w:rStyle w:val="9"/>
          <w:rFonts w:ascii="Times New Roman" w:hAnsi="Times New Roman" w:cs="Times New Roman"/>
          <w:b/>
          <w:bCs/>
          <w:color w:val="000000" w:themeColor="text1"/>
          <w:sz w:val="36"/>
          <w:szCs w:val="36"/>
          <w14:textFill>
            <w14:solidFill>
              <w14:schemeClr w14:val="tx1"/>
            </w14:solidFill>
          </w14:textFill>
        </w:rPr>
        <w:t>Chapter 2</w:t>
      </w:r>
    </w:p>
    <w:p w14:paraId="1F5C2B68">
      <w:pPr>
        <w:pStyle w:val="2"/>
        <w:jc w:val="both"/>
        <w:rPr>
          <w:rFonts w:ascii="Times New Roman" w:hAnsi="Times New Roman" w:cs="Times New Roman"/>
          <w:b/>
          <w:bCs/>
          <w:color w:val="000000" w:themeColor="text1"/>
          <w14:textFill>
            <w14:solidFill>
              <w14:schemeClr w14:val="tx1"/>
            </w14:solidFill>
          </w14:textFill>
        </w:rPr>
      </w:pPr>
      <w:r>
        <w:rPr>
          <w:rStyle w:val="9"/>
          <w:rFonts w:ascii="Times New Roman" w:hAnsi="Times New Roman" w:cs="Times New Roman"/>
          <w:b/>
          <w:bCs/>
          <w:color w:val="000000" w:themeColor="text1"/>
          <w14:textFill>
            <w14:solidFill>
              <w14:schemeClr w14:val="tx1"/>
            </w14:solidFill>
          </w14:textFill>
        </w:rPr>
        <w:t>Literature Review</w:t>
      </w:r>
    </w:p>
    <w:p w14:paraId="08E99C18">
      <w:pPr>
        <w:pStyle w:val="3"/>
        <w:jc w:val="both"/>
        <w:rPr>
          <w:sz w:val="28"/>
          <w:szCs w:val="28"/>
        </w:rPr>
      </w:pPr>
      <w:r>
        <w:rPr>
          <w:rStyle w:val="9"/>
          <w:b/>
          <w:bCs/>
          <w:sz w:val="28"/>
          <w:szCs w:val="28"/>
        </w:rPr>
        <w:t>2.1 Global Research on Mango Classification</w:t>
      </w:r>
    </w:p>
    <w:p w14:paraId="229428B3">
      <w:pPr>
        <w:pStyle w:val="8"/>
        <w:jc w:val="both"/>
      </w:pPr>
      <w:r>
        <w:t xml:space="preserve">The application of Artificial Intelligence (AI) and Computer Vision in agriculture has experienced remarkable growth over the past decade, driven by the increasing demand for automated crop monitoring, quality assessment, disease diagnosis, and precision farming technologies [1]. Among various horticultural crops, mango has attracted considerable research attention because of its high commercial value and the complexity associated with manual variety identification. </w:t>
      </w:r>
    </w:p>
    <w:p w14:paraId="077D6FC3">
      <w:pPr>
        <w:pStyle w:val="8"/>
        <w:jc w:val="both"/>
      </w:pPr>
      <w:r>
        <w:t>The emergence of Deep Learning, particularly Convolutional Neural Networks (CNNs), fundamentally transformed agricultural image classification by enabling automatic hierarchical feature learning directly from raw image data.</w:t>
      </w:r>
      <w:r>
        <w:rPr>
          <w:rFonts w:hint="default"/>
          <w:lang w:val="en-US"/>
        </w:rPr>
        <w:t xml:space="preserve"> </w:t>
      </w:r>
      <w:r>
        <w:t>CNNs progressively learn low-level features such as edges and textures before constructing increasingly abstract semantic representations capable of distinguishing fine-grained visual differences among object categories [</w:t>
      </w:r>
      <w:r>
        <w:rPr>
          <w:rFonts w:hint="default"/>
          <w:lang w:val="en-US"/>
        </w:rPr>
        <w:t>2</w:t>
      </w:r>
      <w:r>
        <w:t xml:space="preserve">]. </w:t>
      </w:r>
    </w:p>
    <w:p w14:paraId="02F0D2B1">
      <w:pPr>
        <w:pStyle w:val="8"/>
        <w:jc w:val="both"/>
      </w:pPr>
      <w:r>
        <w:t xml:space="preserve">Global research on mango classification has largely focused on three major application areas: </w:t>
      </w:r>
      <w:r>
        <w:rPr>
          <w:rStyle w:val="9"/>
        </w:rPr>
        <w:t>variety identification</w:t>
      </w:r>
      <w:r>
        <w:t xml:space="preserve">, </w:t>
      </w:r>
      <w:r>
        <w:rPr>
          <w:rStyle w:val="9"/>
        </w:rPr>
        <w:t>ripeness estimation</w:t>
      </w:r>
      <w:r>
        <w:t xml:space="preserve">, and </w:t>
      </w:r>
      <w:r>
        <w:rPr>
          <w:rStyle w:val="9"/>
        </w:rPr>
        <w:t>quality assessment</w:t>
      </w:r>
      <w:r>
        <w:t>. Numerous studies have demonstrated that transfer learning using pre-trained CNN architectures significantly improves classification performance while reducing training time and computational cost. By initializing models with weights learned from large-scale datasets such as ImageNet, researchers can effectively adapt general visual features to agricultural classification tasks despite relatively limited domain-specific datasets [</w:t>
      </w:r>
      <w:r>
        <w:rPr>
          <w:rFonts w:hint="default"/>
          <w:lang w:val="en-US"/>
        </w:rPr>
        <w:t>3</w:t>
      </w:r>
      <w:r>
        <w:t>]. This strategy has become the standard practice for fruit classification research due to its strong generalization capability and reduced data requirements.</w:t>
      </w:r>
    </w:p>
    <w:p w14:paraId="394D84CD">
      <w:pPr>
        <w:pStyle w:val="8"/>
        <w:jc w:val="both"/>
      </w:pPr>
      <w:r>
        <w:t xml:space="preserve">Beyond maturity and quality assessment, recent research has increasingly explored multi-class mango variety classification. Ratha </w:t>
      </w:r>
      <w:r>
        <w:rPr>
          <w:rStyle w:val="7"/>
        </w:rPr>
        <w:t>et al.</w:t>
      </w:r>
      <w:r>
        <w:t xml:space="preserve"> combined </w:t>
      </w:r>
      <w:r>
        <w:rPr>
          <w:rStyle w:val="9"/>
        </w:rPr>
        <w:t>MobileNetV2</w:t>
      </w:r>
      <w:r>
        <w:t xml:space="preserve"> as a deep feature extractor with traditional machine learning classifiers to classify </w:t>
      </w:r>
      <w:r>
        <w:rPr>
          <w:rStyle w:val="9"/>
        </w:rPr>
        <w:t>15 Indian mango varieties</w:t>
      </w:r>
      <w:r>
        <w:t xml:space="preserve">. Their comparative experiments demonstrated that the Cubic Support Vector Machine achieved the highest classification accuracy when trained on MobileNetV2 feature embeddings, illustrating the effectiveness of transfer learning for fine-grained fruit recognition. However, the study primarily emphasized predictive accuracy and did not investigate deployment-related factors such as model size, inference latency, or mobile implementation. </w:t>
      </w:r>
    </w:p>
    <w:p w14:paraId="7FFDAF1B">
      <w:pPr>
        <w:pStyle w:val="8"/>
        <w:jc w:val="both"/>
      </w:pPr>
      <w:r>
        <w:t>Recent investigations have also explored hybrid architectures combining Convolutional Neural Networks with Vision Transformers (ViTs). These approaches aim to leverage the local feature extraction capability of CNNs together with the global contextual modeling ability of transformer architectures. Experimental results indicate that CNN–ViT fusion models can achieve excellent classification accuracy on mango datasets while improving feature robustness under diverse imaging conditions. Nevertheless, these architectures generally introduce substantially higher computational complexity and memory requirements, limiting their suitability for resource-constrained edge devices despite their impressive predictive performance.</w:t>
      </w:r>
    </w:p>
    <w:p w14:paraId="6552BBCC">
      <w:pPr>
        <w:pStyle w:val="8"/>
        <w:jc w:val="both"/>
      </w:pPr>
      <w:r>
        <w:t>Parallel developments have focused on lightweight neural network architectures specifically designed for mobile computing environments. MobileNet, ShuffleNet, GhostNet, and EfficientNet families significantly reduce computational complexity through architectural innovations such as depthwise separable convolution, inverted residual blocks, squeeze-and-excitation modules, and compound scaling strategies [8]. These lightweight architectures achieve competitive recognition performance while substantially reducing parameter count, floating-point operations (FLOPs), memory consumption, and inference latency. As a result, they have become increasingly attractive for agricultural applications requiring deployment on smartphones, embedded processors, drones, and Internet of Things (IoT) devices.</w:t>
      </w:r>
    </w:p>
    <w:p w14:paraId="71655E2C">
      <w:pPr>
        <w:pStyle w:val="8"/>
        <w:jc w:val="both"/>
      </w:pPr>
      <w:r>
        <w:t>Among lightweight architectures, the MobileNet family has received particular attention because it was specifically designed for mobile and embedded vision applications. MobileNetV2 introduced inverted residual blocks and linear bottlenecks to improve computational efficiency without sacrificing representational capability, while MobileNetV3 further incorporated Neural Architecture Search (NAS), squeeze-and-excitation attention mechanisms, and hardware-aware optimization to improve the trade-off between classification accuracy and inference speed. These characteristics make MobileNet architectures particularly suitable for real-time Edge AI applications where limited computational resources constrain deployment possibilities.</w:t>
      </w:r>
    </w:p>
    <w:p w14:paraId="566EF3DD">
      <w:pPr>
        <w:pStyle w:val="8"/>
        <w:jc w:val="both"/>
      </w:pPr>
      <w:r>
        <w:t>Despite substantial progress in deep learning-based mango classification, several important limitations remain evident throughout the global literature. First, many studies primarily evaluate predictive performance using classification accuracy while overlooking deployment-oriented performance indicators such as model size, inference latency, energy consumption, and memory requirements. From an engineering perspective, these metrics are equally important because an accurate model that cannot execute efficiently on mobile hardware provides limited practical value for field deployment. Second, the majority of existing datasets concentrate on internationally popular commercial cultivars such as Kent, Alphonso, Tommy Atkins, or Aiwen, whereas relatively little attention has been devoted to indigenous South Asian mango varieties exhibiting much higher inter-class visual similarity [9]. Finally, although numerous publications demonstrate impressive laboratory results, comparatively few validate their proposed models through complete end-to-end mobile deployment capable of performing fully offline inference under realistic agricultural conditions.</w:t>
      </w:r>
    </w:p>
    <w:p w14:paraId="08339E93">
      <w:pPr>
        <w:pStyle w:val="8"/>
        <w:jc w:val="both"/>
      </w:pPr>
      <w:r>
        <w:t xml:space="preserve">These observations highlight a significant gap between academic algorithm development and practical agricultural implementation. Existing literature has convincingly demonstrated that CNN-based approaches outperform conventional machine learning techniques for mango image classification. However, comparatively limited research has simultaneously addressed </w:t>
      </w:r>
      <w:r>
        <w:rPr>
          <w:rStyle w:val="9"/>
        </w:rPr>
        <w:t>classification accuracy</w:t>
      </w:r>
      <w:r>
        <w:t xml:space="preserve">, </w:t>
      </w:r>
      <w:r>
        <w:rPr>
          <w:rStyle w:val="9"/>
        </w:rPr>
        <w:t>computational efficiency</w:t>
      </w:r>
      <w:r>
        <w:t xml:space="preserve">, </w:t>
      </w:r>
      <w:r>
        <w:rPr>
          <w:rStyle w:val="9"/>
        </w:rPr>
        <w:t>model optimization</w:t>
      </w:r>
      <w:r>
        <w:t xml:space="preserve">, and </w:t>
      </w:r>
      <w:r>
        <w:rPr>
          <w:rStyle w:val="9"/>
        </w:rPr>
        <w:t>real-world mobile deployment</w:t>
      </w:r>
      <w:r>
        <w:t xml:space="preserve"> within a unified Edge AI framework. Bridging this gap is essential for translating advances in computer vision into intelligent agricultural systems that are both scientifically robust and practically deployable.</w:t>
      </w:r>
    </w:p>
    <w:p w14:paraId="2AA49111">
      <w:pPr>
        <w:pStyle w:val="8"/>
        <w:jc w:val="both"/>
      </w:pPr>
      <w:r>
        <w:t>The present research addresses these limitations by systematically benchmarking five lightweight transfer learning-based convolutional neural networks—</w:t>
      </w:r>
      <w:r>
        <w:rPr>
          <w:rStyle w:val="9"/>
        </w:rPr>
        <w:t>MobileNetV2, MobileNetV3-Small, EfficientNetV2B0, DenseNet121, and NASNetMobile</w:t>
      </w:r>
      <w:r>
        <w:t xml:space="preserve">—using a unified experimental protocol. Unlike many previous studies, model selection is based not solely on predictive accuracy but on a comprehensive evaluation incorporating classification performance, weighted F1-score, inference latency, storage requirements, and deployment feasibility. Furthermore, the selected architecture is optimized using </w:t>
      </w:r>
      <w:r>
        <w:rPr>
          <w:rStyle w:val="9"/>
        </w:rPr>
        <w:t>TensorFlow Lite Float16 post-training quantization</w:t>
      </w:r>
      <w:r>
        <w:t xml:space="preserve"> and integrated into the </w:t>
      </w:r>
      <w:r>
        <w:rPr>
          <w:rStyle w:val="9"/>
        </w:rPr>
        <w:t>AmmChini AI</w:t>
      </w:r>
      <w:r>
        <w:t xml:space="preserve"> mobile application, demonstrating a complete end-to-end Edge AI solution for offline classification of indigenous Bangladeshi mango varieties. This deployment-oriented perspective differentiates the proposed research from much of the existing global literature and contributes toward the practical adoption of deep learning in precision agriculture.</w:t>
      </w:r>
    </w:p>
    <w:p w14:paraId="06268E07">
      <w:pPr>
        <w:pStyle w:val="8"/>
        <w:jc w:val="both"/>
      </w:pPr>
    </w:p>
    <w:p w14:paraId="6963A804">
      <w:pPr>
        <w:pStyle w:val="3"/>
        <w:jc w:val="both"/>
        <w:rPr>
          <w:sz w:val="28"/>
          <w:szCs w:val="28"/>
        </w:rPr>
      </w:pPr>
      <w:r>
        <w:rPr>
          <w:rStyle w:val="9"/>
          <w:b/>
          <w:bCs/>
          <w:sz w:val="28"/>
          <w:szCs w:val="28"/>
        </w:rPr>
        <w:t>2.2 Lightweight CNNs in Agriculture</w:t>
      </w:r>
    </w:p>
    <w:p w14:paraId="76FF5C1B">
      <w:pPr>
        <w:pStyle w:val="8"/>
        <w:jc w:val="both"/>
      </w:pPr>
      <w:r>
        <w:t>The rapid advancement of Artificial Intelligence (AI) has transformed modern agriculture by enabling intelligent systems capable of automating complex tasks such as crop monitoring, disease diagnosis, fruit classification, yield estimation, and quality assessment. Most agricultural operations are conducted in open fields, orchards, and rural regions where access to high-performance computing infrastructure is limited. Consequently, there has been a growing shift from developing highly complex deep neural networks toward designing lightweight Convolutional Neural Networks (CNNs) that can perform accurate inference directly on resource-constrained edge devices such as smartphones, drones, and embedded systems [1].</w:t>
      </w:r>
    </w:p>
    <w:p w14:paraId="6745A897">
      <w:pPr>
        <w:pStyle w:val="8"/>
        <w:jc w:val="both"/>
      </w:pPr>
      <w:r>
        <w:t xml:space="preserve">Lightweight CNNs are specifically designed to minimize computational complexity while preserving competitive classification performance. </w:t>
      </w:r>
      <w:r>
        <w:rPr>
          <w:rFonts w:hint="default"/>
          <w:lang w:val="en-US"/>
        </w:rPr>
        <w:t>L</w:t>
      </w:r>
      <w:r>
        <w:t xml:space="preserve">ightweight networks employ architectural optimizations that significantly reduce memory consumption and computational cost. These optimizations include </w:t>
      </w:r>
      <w:r>
        <w:rPr>
          <w:rStyle w:val="9"/>
        </w:rPr>
        <w:t>depthwise separable convolutions</w:t>
      </w:r>
      <w:r>
        <w:t xml:space="preserve">, </w:t>
      </w:r>
      <w:r>
        <w:rPr>
          <w:rStyle w:val="9"/>
        </w:rPr>
        <w:t>inverted residual connections</w:t>
      </w:r>
      <w:r>
        <w:t xml:space="preserve">, </w:t>
      </w:r>
      <w:r>
        <w:rPr>
          <w:rStyle w:val="9"/>
        </w:rPr>
        <w:t>linear bottlenecks</w:t>
      </w:r>
      <w:r>
        <w:t xml:space="preserve">, </w:t>
      </w:r>
      <w:r>
        <w:rPr>
          <w:rStyle w:val="9"/>
        </w:rPr>
        <w:t>channel attention mechanisms</w:t>
      </w:r>
      <w:r>
        <w:t xml:space="preserve">, and </w:t>
      </w:r>
      <w:r>
        <w:rPr>
          <w:rStyle w:val="9"/>
        </w:rPr>
        <w:t>hardware-aware neural architecture search (NAS)</w:t>
      </w:r>
      <w:r>
        <w:t>. As a result, lightweight CNNs require fewer floating-point operations (FLOPs), occupy less storage, consume less energy, and achieve lower inference latency, making them particularly suitable for deployment on mobile and embedded platforms [2].</w:t>
      </w:r>
    </w:p>
    <w:p w14:paraId="6B3F0D4C">
      <w:pPr>
        <w:pStyle w:val="8"/>
        <w:jc w:val="both"/>
      </w:pPr>
      <w:r>
        <w:t xml:space="preserve">One of the earliest and most influential lightweight architectures is </w:t>
      </w:r>
      <w:r>
        <w:rPr>
          <w:rStyle w:val="9"/>
        </w:rPr>
        <w:t>MobileNet</w:t>
      </w:r>
      <w:r>
        <w:rPr>
          <w:rStyle w:val="9"/>
          <w:rFonts w:hint="default"/>
          <w:lang w:val="en-US"/>
        </w:rPr>
        <w:t>.</w:t>
      </w:r>
      <w:r>
        <w:t xml:space="preserve"> MobileNet replaces conventional convolution operations with </w:t>
      </w:r>
      <w:r>
        <w:rPr>
          <w:rStyle w:val="9"/>
        </w:rPr>
        <w:t>depthwise separable convolutions</w:t>
      </w:r>
      <w:r>
        <w:t>, reducing computational complexity by decomposing a standard convolution into two simpler operations: a depthwise convolution that independently filters each input channel and a pointwise convolution that combines information across channels [3]. Mathematically, the computational cost of a standard convolution can be expressed as</w:t>
      </w:r>
    </w:p>
    <w:p w14:paraId="53253E8A">
      <w:pPr>
        <w:jc w:val="both"/>
      </w:pPr>
      <m:oMathPara>
        <m:oMath>
          <m:r>
            <m:rPr>
              <m:lit/>
            </m:rPr>
            <w:rPr>
              <w:rFonts w:ascii="Cambria Math" w:hAnsi="Cambria Math"/>
            </w:rPr>
            <m:t>[</m:t>
          </m:r>
          <m:sSub>
            <m:sSubPr>
              <m:ctrlPr>
                <w:rPr>
                  <w:rFonts w:ascii="Cambria Math" w:hAnsi="Cambria Math"/>
                  <w:i/>
                </w:rPr>
              </m:ctrlPr>
            </m:sSubPr>
            <m:e>
              <m:r>
                <m:rPr>
                  <m:nor/>
                  <m:sty m:val="p"/>
                </m:rPr>
                <w:rPr>
                  <w:b w:val="0"/>
                  <w:i w:val="0"/>
                </w:rPr>
                <m:t>Cost</m:t>
              </m:r>
              <m:ctrlPr>
                <w:rPr>
                  <w:rFonts w:ascii="Cambria Math" w:hAnsi="Cambria Math"/>
                  <w:i/>
                </w:rPr>
              </m:ctrlPr>
            </m:e>
            <m:sub>
              <m:r>
                <m:rPr>
                  <m:nor/>
                  <m:sty m:val="p"/>
                </m:rPr>
                <w:rPr>
                  <w:b w:val="0"/>
                  <w:i w:val="0"/>
                </w:rPr>
                <m:t>standard</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up>
              <m:r>
                <m:rPr/>
                <w:rPr>
                  <w:rFonts w:ascii="Cambria Math" w:hAnsi="Cambria Math"/>
                </w:rPr>
                <m:t>2</m:t>
              </m:r>
              <m:ctrlPr>
                <w:rPr>
                  <w:rFonts w:ascii="Cambria Math" w:hAnsi="Cambria Math"/>
                  <w:i/>
                </w:rPr>
              </m:ctrlPr>
            </m:sup>
          </m:sSubSup>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N</m:t>
          </m:r>
          <m:r>
            <m:rPr>
              <m:sty m:val="p"/>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rPr>
              </m:ctrlPr>
            </m:e>
            <m:sub>
              <m:r>
                <m:rPr/>
                <w:rPr>
                  <w:rFonts w:ascii="Cambria Math" w:hAnsi="Cambria Math"/>
                </w:rPr>
                <m:t>F</m:t>
              </m:r>
              <m:ctrlPr>
                <w:rPr>
                  <w:rFonts w:ascii="Cambria Math" w:hAnsi="Cambria Math"/>
                  <w:i/>
                </w:rPr>
              </m:ctrlPr>
            </m:sub>
            <m:sup>
              <m:r>
                <m:rPr/>
                <w:rPr>
                  <w:rFonts w:ascii="Cambria Math" w:hAnsi="Cambria Math"/>
                </w:rPr>
                <m:t>2</m:t>
              </m:r>
              <m:ctrlPr>
                <w:rPr>
                  <w:rFonts w:ascii="Cambria Math" w:hAnsi="Cambria Math"/>
                  <w:i/>
                </w:rPr>
              </m:ctrlPr>
            </m:sup>
          </m:sSubSup>
          <m:r>
            <m:rPr>
              <m:lit/>
            </m:rPr>
            <w:rPr>
              <w:rFonts w:ascii="Cambria Math" w:hAnsi="Cambria Math"/>
            </w:rPr>
            <m:t>]</m:t>
          </m:r>
        </m:oMath>
      </m:oMathPara>
    </w:p>
    <w:p w14:paraId="1A4E5910">
      <w:pPr>
        <w:pStyle w:val="8"/>
        <w:jc w:val="both"/>
      </w:pPr>
      <w:r>
        <w:t>where:</w:t>
      </w:r>
    </w:p>
    <w:p w14:paraId="62E9EC08">
      <w:pPr>
        <w:numPr>
          <w:ilvl w:val="0"/>
          <w:numId w:val="1"/>
        </w:numPr>
        <w:spacing w:before="100" w:beforeAutospacing="1" w:after="100" w:afterAutospacing="1"/>
        <w:jc w:val="both"/>
      </w:pPr>
      <w:r>
        <w:t>D</w:t>
      </w:r>
      <w:r>
        <w:rPr>
          <w:vertAlign w:val="subscript"/>
          <w:lang w:val="en-US"/>
        </w:rPr>
        <w:t>K</w:t>
      </w:r>
      <w:r>
        <w:t xml:space="preserve"> = kernel dimension,</w:t>
      </w:r>
    </w:p>
    <w:p w14:paraId="09B8E82A">
      <w:pPr>
        <w:numPr>
          <w:ilvl w:val="0"/>
          <w:numId w:val="1"/>
        </w:numPr>
        <w:spacing w:before="100" w:beforeAutospacing="1" w:after="100" w:afterAutospacing="1"/>
        <w:jc w:val="both"/>
      </w:pPr>
      <w:r>
        <w:t>M= number of input channels,</w:t>
      </w:r>
    </w:p>
    <w:p w14:paraId="6CF6665A">
      <w:pPr>
        <w:numPr>
          <w:ilvl w:val="0"/>
          <w:numId w:val="1"/>
        </w:numPr>
        <w:spacing w:before="100" w:beforeAutospacing="1" w:after="100" w:afterAutospacing="1"/>
        <w:jc w:val="both"/>
      </w:pPr>
      <w:r>
        <w:t>N = number of output channels,</w:t>
      </w:r>
    </w:p>
    <w:p w14:paraId="223D319F">
      <w:pPr>
        <w:numPr>
          <w:ilvl w:val="0"/>
          <w:numId w:val="1"/>
        </w:numPr>
        <w:spacing w:before="100" w:beforeAutospacing="1" w:after="100" w:afterAutospacing="1"/>
        <w:jc w:val="both"/>
      </w:pPr>
      <w:r>
        <w:t>D</w:t>
      </w:r>
      <w:r>
        <w:rPr>
          <w:vertAlign w:val="subscript"/>
          <w:lang w:val="en-US"/>
        </w:rPr>
        <w:t>F</w:t>
      </w:r>
      <w:r>
        <w:t xml:space="preserve"> = spatial dimension of the feature map.</w:t>
      </w:r>
    </w:p>
    <w:p w14:paraId="025E52A6">
      <w:pPr>
        <w:pStyle w:val="8"/>
        <w:jc w:val="both"/>
      </w:pPr>
      <w:r>
        <w:t>In contrast, depthwise separable convolution reduces the computational cost to</w:t>
      </w:r>
    </w:p>
    <w:p w14:paraId="38A88B5A">
      <w:pPr>
        <w:jc w:val="both"/>
      </w:pPr>
      <m:oMathPara>
        <m:oMath>
          <m:r>
            <m:rPr>
              <m:lit/>
            </m:rPr>
            <w:rPr>
              <w:rFonts w:ascii="Cambria Math" w:hAnsi="Cambria Math"/>
            </w:rPr>
            <m:t>[</m:t>
          </m:r>
          <m:sSub>
            <m:sSubPr>
              <m:ctrlPr>
                <w:rPr>
                  <w:rFonts w:ascii="Cambria Math" w:hAnsi="Cambria Math"/>
                  <w:i/>
                </w:rPr>
              </m:ctrlPr>
            </m:sSubPr>
            <m:e>
              <m:r>
                <m:rPr>
                  <m:nor/>
                  <m:sty m:val="p"/>
                </m:rPr>
                <w:rPr>
                  <w:b w:val="0"/>
                  <w:i w:val="0"/>
                </w:rPr>
                <m:t>Cost</m:t>
              </m:r>
              <m:ctrlPr>
                <w:rPr>
                  <w:rFonts w:ascii="Cambria Math" w:hAnsi="Cambria Math"/>
                  <w:i/>
                </w:rPr>
              </m:ctrlPr>
            </m:e>
            <m:sub>
              <m:r>
                <m:rPr>
                  <m:nor/>
                  <m:sty m:val="p"/>
                </m:rPr>
                <w:rPr>
                  <w:b w:val="0"/>
                  <w:i w:val="0"/>
                </w:rPr>
                <m:t>depthwise</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K</m:t>
              </m:r>
              <m:ctrlPr>
                <w:rPr>
                  <w:rFonts w:ascii="Cambria Math" w:hAnsi="Cambria Math"/>
                  <w:i/>
                </w:rPr>
              </m:ctrlPr>
            </m:sub>
            <m:sup>
              <m:r>
                <m:rPr/>
                <w:rPr>
                  <w:rFonts w:ascii="Cambria Math" w:hAnsi="Cambria Math"/>
                </w:rPr>
                <m:t>2</m:t>
              </m:r>
              <m:ctrlPr>
                <w:rPr>
                  <w:rFonts w:ascii="Cambria Math" w:hAnsi="Cambria Math"/>
                  <w:i/>
                </w:rPr>
              </m:ctrlPr>
            </m:sup>
          </m:sSubSup>
          <m:r>
            <m:rPr>
              <m:sty m:val="p"/>
            </m:rPr>
            <w:rPr>
              <w:rFonts w:ascii="Cambria Math" w:hAnsi="Cambria Math"/>
            </w:rPr>
            <m:t>×</m:t>
          </m:r>
          <m:r>
            <m:rPr/>
            <w:rPr>
              <w:rFonts w:ascii="Cambria Math" w:hAnsi="Cambria Math"/>
            </w:rPr>
            <m:t>M</m:t>
          </m:r>
          <m:r>
            <m:rPr>
              <m:sty m:val="p"/>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rPr>
              </m:ctrlPr>
            </m:e>
            <m:sub>
              <m:r>
                <m:rPr/>
                <w:rPr>
                  <w:rFonts w:ascii="Cambria Math" w:hAnsi="Cambria Math"/>
                </w:rPr>
                <m:t>F</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m:t>
          </m:r>
          <m:r>
            <m:rPr>
              <m:sty m:val="p"/>
            </m:rPr>
            <w:rPr>
              <w:rFonts w:ascii="Cambria Math" w:hAnsi="Cambria Math"/>
            </w:rPr>
            <m:t>×</m:t>
          </m:r>
          <m:r>
            <m:rPr/>
            <w:rPr>
              <w:rFonts w:ascii="Cambria Math" w:hAnsi="Cambria Math"/>
            </w:rPr>
            <m:t>N</m:t>
          </m:r>
          <m:r>
            <m:rPr>
              <m:sty m:val="p"/>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rPr>
              </m:ctrlPr>
            </m:e>
            <m:sub>
              <m:r>
                <m:rPr/>
                <w:rPr>
                  <w:rFonts w:ascii="Cambria Math" w:hAnsi="Cambria Math"/>
                </w:rPr>
                <m:t>F</m:t>
              </m:r>
              <m:ctrlPr>
                <w:rPr>
                  <w:rFonts w:ascii="Cambria Math" w:hAnsi="Cambria Math"/>
                  <w:i/>
                </w:rPr>
              </m:ctrlPr>
            </m:sub>
            <m:sup>
              <m:r>
                <m:rPr/>
                <w:rPr>
                  <w:rFonts w:ascii="Cambria Math" w:hAnsi="Cambria Math"/>
                </w:rPr>
                <m:t>2</m:t>
              </m:r>
              <m:ctrlPr>
                <w:rPr>
                  <w:rFonts w:ascii="Cambria Math" w:hAnsi="Cambria Math"/>
                  <w:i/>
                </w:rPr>
              </m:ctrlPr>
            </m:sup>
          </m:sSubSup>
          <m:r>
            <m:rPr>
              <m:lit/>
            </m:rPr>
            <w:rPr>
              <w:rFonts w:ascii="Cambria Math" w:hAnsi="Cambria Math"/>
            </w:rPr>
            <m:t>]</m:t>
          </m:r>
        </m:oMath>
      </m:oMathPara>
    </w:p>
    <w:p w14:paraId="1939860A">
      <w:pPr>
        <w:pStyle w:val="8"/>
        <w:jc w:val="both"/>
      </w:pPr>
      <w:r>
        <w:t xml:space="preserve">Building upon this foundation, </w:t>
      </w:r>
      <w:r>
        <w:rPr>
          <w:rStyle w:val="9"/>
        </w:rPr>
        <w:t>MobileNetV2</w:t>
      </w:r>
      <w:r>
        <w:t xml:space="preserve"> introduced </w:t>
      </w:r>
      <w:r>
        <w:rPr>
          <w:rStyle w:val="9"/>
        </w:rPr>
        <w:t>inverted residual blocks</w:t>
      </w:r>
      <w:r>
        <w:t xml:space="preserve"> and </w:t>
      </w:r>
      <w:r>
        <w:rPr>
          <w:rStyle w:val="9"/>
        </w:rPr>
        <w:t>linear bottlenecks</w:t>
      </w:r>
      <w:r>
        <w:t>, addressing the representational limitations of the original MobileNet architecture. Instead of directly compressing feature representations, MobileNetV2 first expands feature dimensions using a lightweight pointwise convolution, performs depthwise convolution, and finally projects the features back into a lower-dimensional bottleneck representation. This inverted residual design improves information flow across the network while preserving computational efficiency [4]. Consequently, MobileNetV2 has become one of the most widely adopted architectures for mobile computer vision applications, including agricultural image classification.</w:t>
      </w:r>
    </w:p>
    <w:p w14:paraId="385D4BBF">
      <w:pPr>
        <w:pStyle w:val="8"/>
        <w:jc w:val="both"/>
      </w:pPr>
      <w:r>
        <w:t xml:space="preserve">Further improvements were introduced with </w:t>
      </w:r>
      <w:r>
        <w:rPr>
          <w:rStyle w:val="9"/>
        </w:rPr>
        <w:t>MobileNetV3</w:t>
      </w:r>
      <w:r>
        <w:t xml:space="preserve">, which combines hardware-aware Neural Architecture Search (NAS), NetAdapt optimization, squeeze-and-excitation (SE) attention modules, and the computationally efficient </w:t>
      </w:r>
      <w:r>
        <w:rPr>
          <w:rStyle w:val="9"/>
        </w:rPr>
        <w:t>Hard-Swish (H-Swish)</w:t>
      </w:r>
      <w:r>
        <w:t xml:space="preserve"> activation function [5]. Unlike manually designed architectures, MobileNetV3 was partially generated using automated architecture search techniques that optimize both recognition performance and execution speed on mobile processors. The inclusion of squeeze-and-excitation blocks enables adaptive channel-wise feature recalibration, allowing the network to emphasize informative visual features while suppressing less relevant responses. These enhancements significantly improve the trade-off between classification accuracy and computational efficiency, making MobileNetV3 particularly suitable for Edge AI applications.</w:t>
      </w:r>
    </w:p>
    <w:p w14:paraId="5ADB3B6A">
      <w:pPr>
        <w:pStyle w:val="8"/>
        <w:jc w:val="both"/>
      </w:pPr>
      <w:r>
        <w:t>The advantages of lightweight CNNs have made them particularly attractive for agricultural applications where computational resources are inherently limited. Modern precision agriculture increasingly relies on portable devices for real-time decision making, requiring models capable of executing directly on field equipment without cloud dependency. Lightweight CNNs have therefore been successfully employed in numerous agricultural tasks, including plant disease diagnosis, weed detection, fruit maturity estimation, crop classification, livestock monitoring, and automated quality inspection [9]. Their ability to perform rapid inference with low memory requirements enables intelligent agricultural systems to operate reliably even in remote environments where internet connectivity is unavailable.</w:t>
      </w:r>
    </w:p>
    <w:p w14:paraId="4F416497">
      <w:pPr>
        <w:pStyle w:val="8"/>
        <w:jc w:val="both"/>
      </w:pPr>
      <w:r>
        <w:t>Several recent studies have demonstrated the practical benefits of lightweight CNNs in fruit classification. MobileNetV2 has been successfully applied to smartphone-based plant disease diagnosis, providing near real-time predictions while consuming significantly fewer computational resources than conventional deep CNNs [10]. GhostNet has been deployed for embedded fruit defect detection, achieving real-time inference on low-power hardware platforms such as Raspberry Pi [11]. Similarly, EfficientNet-Lite models have shown promising performance in crop classification tasks by providing competitive recognition accuracy with reduced computational complexity. These studies collectively indicate that lightweight CNNs can effectively support portable agricultural applications without sacrificing practical usability.</w:t>
      </w:r>
    </w:p>
    <w:p w14:paraId="3FA0B7BA">
      <w:pPr>
        <w:pStyle w:val="8"/>
        <w:jc w:val="both"/>
      </w:pPr>
      <w:r>
        <w:t>Despite these advances, selecting an appropriate lightweight architecture remains a challenging multi-objective optimization problem. The architecture achieving the highest classification accuracy is not necessarily the most appropriate for deployment on mobile devices. Larger models often require increased storage capacity, higher memory consumption, longer inference times, and greater energy usage, reducing battery life and user responsiveness. Therefore, evaluating lightweight CNNs requires considering multiple performance criteria simultaneously rather than relying exclusively on predictive accuracy. Important deployment-oriented metrics include model size, inference latency, memory footprint, parameter count, computational complexity, and energy efficiency in addition to traditional evaluation measures such as accuracy, precision, recall, and F1-score [12].</w:t>
      </w:r>
    </w:p>
    <w:p w14:paraId="6E8B4B83">
      <w:pPr>
        <w:pStyle w:val="8"/>
        <w:jc w:val="both"/>
      </w:pPr>
      <w:r>
        <w:t>The emergence of Edge Artificial Intelligence has further strengthened the importance of lightweight CNN architectures. Edge AI shifts inference from centralized cloud servers to local devices, enabling faster response times, improved privacy, reduced communication costs, and continuous offline operation. However, achieving these benefits depends fundamentally on selecting neural network architectures capable of operating efficiently under the limited computational resources of smartphones and embedded processors. Lightweight CNNs therefore represent the enabling technology that makes practical Edge AI deployment feasible across numerous real-world agricultural scenarios.</w:t>
      </w:r>
    </w:p>
    <w:p w14:paraId="75BA85CE">
      <w:pPr>
        <w:pStyle w:val="8"/>
        <w:jc w:val="both"/>
      </w:pPr>
      <w:r>
        <w:t>The present research builds directly upon these developments by investigating five transfer learning-based CNN architectures—</w:t>
      </w:r>
      <w:r>
        <w:rPr>
          <w:rStyle w:val="9"/>
        </w:rPr>
        <w:t>MobileNetV2, MobileNetV3-Small, EfficientNetV2B0, DenseNet121, and NASNetMobile</w:t>
      </w:r>
      <w:r>
        <w:t xml:space="preserve">—within a unified benchmarking framework. Instead of emphasizing classification accuracy alone, this study evaluates each architecture according to predictive performance, weighted F1-score, inference latency, and model storage requirements. Such a comprehensive evaluation enables the identification of the most deployment-efficient architecture for real-time mango variety classification on Android smartphones. The selected model is subsequently optimized using </w:t>
      </w:r>
      <w:r>
        <w:rPr>
          <w:rStyle w:val="9"/>
        </w:rPr>
        <w:t>TensorFlow Lite Float16 post-training quantization</w:t>
      </w:r>
      <w:r>
        <w:t xml:space="preserve"> and integrated into the </w:t>
      </w:r>
      <w:r>
        <w:rPr>
          <w:rStyle w:val="9"/>
        </w:rPr>
        <w:t>AmmChini AI</w:t>
      </w:r>
      <w:r>
        <w:t xml:space="preserve"> mobile application, thereby demonstrating a complete Edge AI solution for precision agriculture. This deployment-oriented methodology distinguishes the proposed work from many existing agricultural image classification studies that terminate after laboratory-based performance evaluation without validating practical mobile implementation.</w:t>
      </w:r>
    </w:p>
    <w:p w14:paraId="7D334153">
      <w:pPr>
        <w:pStyle w:val="4"/>
        <w:jc w:val="both"/>
        <w:rPr>
          <w:sz w:val="24"/>
          <w:szCs w:val="24"/>
        </w:rPr>
      </w:pPr>
      <w:r>
        <w:rPr>
          <w:rStyle w:val="9"/>
          <w:b/>
          <w:bCs/>
          <w:sz w:val="24"/>
          <w:szCs w:val="24"/>
        </w:rPr>
        <w:t>Table 2.1 Comparison of Popular Lightweight CNN Architectures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2"/>
        <w:gridCol w:w="2141"/>
        <w:gridCol w:w="2493"/>
        <w:gridCol w:w="2106"/>
      </w:tblGrid>
      <w:tr w14:paraId="4967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7392B8">
            <w:pPr>
              <w:jc w:val="both"/>
              <w:rPr>
                <w:b/>
                <w:bCs/>
              </w:rPr>
            </w:pPr>
            <w:r>
              <w:rPr>
                <w:b/>
                <w:bCs/>
              </w:rPr>
              <w:t>Architecture</w:t>
            </w:r>
          </w:p>
        </w:tc>
        <w:tc>
          <w:tcPr>
            <w:tcW w:w="0" w:type="auto"/>
          </w:tcPr>
          <w:p w14:paraId="41BF3C5B">
            <w:pPr>
              <w:jc w:val="both"/>
              <w:rPr>
                <w:b/>
                <w:bCs/>
              </w:rPr>
            </w:pPr>
            <w:r>
              <w:rPr>
                <w:b/>
                <w:bCs/>
              </w:rPr>
              <w:t>Key Architectural Innovation</w:t>
            </w:r>
          </w:p>
        </w:tc>
        <w:tc>
          <w:tcPr>
            <w:tcW w:w="0" w:type="auto"/>
          </w:tcPr>
          <w:p w14:paraId="6F9135A3">
            <w:pPr>
              <w:jc w:val="both"/>
              <w:rPr>
                <w:b/>
                <w:bCs/>
              </w:rPr>
            </w:pPr>
            <w:r>
              <w:rPr>
                <w:b/>
                <w:bCs/>
              </w:rPr>
              <w:t>Major Advantages</w:t>
            </w:r>
          </w:p>
        </w:tc>
        <w:tc>
          <w:tcPr>
            <w:tcW w:w="0" w:type="auto"/>
          </w:tcPr>
          <w:p w14:paraId="533D5B87">
            <w:pPr>
              <w:jc w:val="both"/>
              <w:rPr>
                <w:b/>
                <w:bCs/>
              </w:rPr>
            </w:pPr>
            <w:r>
              <w:rPr>
                <w:b/>
                <w:bCs/>
              </w:rPr>
              <w:t>Common Agricultural Applications</w:t>
            </w:r>
          </w:p>
        </w:tc>
      </w:tr>
      <w:tr w14:paraId="2B7DA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C5C8D7">
            <w:pPr>
              <w:jc w:val="both"/>
            </w:pPr>
            <w:r>
              <w:rPr>
                <w:rStyle w:val="9"/>
              </w:rPr>
              <w:t>MobileNetV2</w:t>
            </w:r>
          </w:p>
        </w:tc>
        <w:tc>
          <w:tcPr>
            <w:tcW w:w="0" w:type="auto"/>
          </w:tcPr>
          <w:p w14:paraId="15981F1A">
            <w:pPr>
              <w:jc w:val="both"/>
            </w:pPr>
            <w:r>
              <w:t>Inverted Residuals, Linear Bottlenecks</w:t>
            </w:r>
          </w:p>
        </w:tc>
        <w:tc>
          <w:tcPr>
            <w:tcW w:w="0" w:type="auto"/>
          </w:tcPr>
          <w:p w14:paraId="5F45BA36">
            <w:pPr>
              <w:jc w:val="both"/>
            </w:pPr>
            <w:r>
              <w:t>Low computation, small model size, efficient mobile inference</w:t>
            </w:r>
          </w:p>
        </w:tc>
        <w:tc>
          <w:tcPr>
            <w:tcW w:w="0" w:type="auto"/>
          </w:tcPr>
          <w:p w14:paraId="12D3C62A">
            <w:pPr>
              <w:jc w:val="both"/>
            </w:pPr>
            <w:r>
              <w:t>Plant disease detection, fruit classification</w:t>
            </w:r>
          </w:p>
        </w:tc>
      </w:tr>
      <w:tr w14:paraId="27D5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F61494">
            <w:pPr>
              <w:jc w:val="both"/>
            </w:pPr>
            <w:r>
              <w:rPr>
                <w:rStyle w:val="9"/>
              </w:rPr>
              <w:t>MobileNetV3-Small</w:t>
            </w:r>
          </w:p>
        </w:tc>
        <w:tc>
          <w:tcPr>
            <w:tcW w:w="0" w:type="auto"/>
          </w:tcPr>
          <w:p w14:paraId="3C60E72E">
            <w:pPr>
              <w:jc w:val="both"/>
            </w:pPr>
            <w:r>
              <w:t>NAS, Squeeze-and-Excitation, Hard-Swish</w:t>
            </w:r>
          </w:p>
        </w:tc>
        <w:tc>
          <w:tcPr>
            <w:tcW w:w="0" w:type="auto"/>
          </w:tcPr>
          <w:p w14:paraId="535E9658">
            <w:pPr>
              <w:jc w:val="both"/>
            </w:pPr>
            <w:r>
              <w:t>Excellent balance between accuracy and latency</w:t>
            </w:r>
          </w:p>
        </w:tc>
        <w:tc>
          <w:tcPr>
            <w:tcW w:w="0" w:type="auto"/>
          </w:tcPr>
          <w:p w14:paraId="296253C8">
            <w:pPr>
              <w:jc w:val="both"/>
            </w:pPr>
            <w:r>
              <w:t>Mobile vision, Edge AI, precision agriculture</w:t>
            </w:r>
          </w:p>
        </w:tc>
      </w:tr>
      <w:tr w14:paraId="2DDE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B68D69">
            <w:pPr>
              <w:jc w:val="both"/>
            </w:pPr>
            <w:r>
              <w:rPr>
                <w:rStyle w:val="9"/>
              </w:rPr>
              <w:t>ShuffleNetV2</w:t>
            </w:r>
          </w:p>
        </w:tc>
        <w:tc>
          <w:tcPr>
            <w:tcW w:w="0" w:type="auto"/>
          </w:tcPr>
          <w:p w14:paraId="0C576DCA">
            <w:pPr>
              <w:jc w:val="both"/>
            </w:pPr>
            <w:r>
              <w:t>Channel Shuffle, Group Convolution</w:t>
            </w:r>
          </w:p>
        </w:tc>
        <w:tc>
          <w:tcPr>
            <w:tcW w:w="0" w:type="auto"/>
          </w:tcPr>
          <w:p w14:paraId="186D8876">
            <w:pPr>
              <w:jc w:val="both"/>
            </w:pPr>
            <w:r>
              <w:t>Extremely fast inference on mobile CPUs</w:t>
            </w:r>
          </w:p>
        </w:tc>
        <w:tc>
          <w:tcPr>
            <w:tcW w:w="0" w:type="auto"/>
          </w:tcPr>
          <w:p w14:paraId="1809F989">
            <w:pPr>
              <w:jc w:val="both"/>
            </w:pPr>
            <w:r>
              <w:t>Crop recognition, weed detection</w:t>
            </w:r>
          </w:p>
        </w:tc>
      </w:tr>
      <w:tr w14:paraId="3EC17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9E49C38">
            <w:pPr>
              <w:jc w:val="both"/>
            </w:pPr>
            <w:r>
              <w:rPr>
                <w:rStyle w:val="9"/>
              </w:rPr>
              <w:t>GhostNet</w:t>
            </w:r>
          </w:p>
        </w:tc>
        <w:tc>
          <w:tcPr>
            <w:tcW w:w="0" w:type="auto"/>
          </w:tcPr>
          <w:p w14:paraId="5DDBB6C1">
            <w:pPr>
              <w:jc w:val="both"/>
            </w:pPr>
            <w:r>
              <w:t>Ghost Feature Generation</w:t>
            </w:r>
          </w:p>
        </w:tc>
        <w:tc>
          <w:tcPr>
            <w:tcW w:w="0" w:type="auto"/>
          </w:tcPr>
          <w:p w14:paraId="264ABC3C">
            <w:pPr>
              <w:jc w:val="both"/>
            </w:pPr>
            <w:r>
              <w:t>Very low computational complexity</w:t>
            </w:r>
          </w:p>
        </w:tc>
        <w:tc>
          <w:tcPr>
            <w:tcW w:w="0" w:type="auto"/>
          </w:tcPr>
          <w:p w14:paraId="693B52A7">
            <w:pPr>
              <w:jc w:val="both"/>
            </w:pPr>
            <w:r>
              <w:t>Fruit defect detection, embedded vision</w:t>
            </w:r>
          </w:p>
        </w:tc>
      </w:tr>
      <w:tr w14:paraId="1999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96E001">
            <w:pPr>
              <w:jc w:val="both"/>
            </w:pPr>
            <w:r>
              <w:rPr>
                <w:rStyle w:val="9"/>
              </w:rPr>
              <w:t>EfficientNet-Lite</w:t>
            </w:r>
          </w:p>
        </w:tc>
        <w:tc>
          <w:tcPr>
            <w:tcW w:w="0" w:type="auto"/>
          </w:tcPr>
          <w:p w14:paraId="3C74FD87">
            <w:pPr>
              <w:jc w:val="both"/>
            </w:pPr>
            <w:r>
              <w:t>Compound Scaling</w:t>
            </w:r>
          </w:p>
        </w:tc>
        <w:tc>
          <w:tcPr>
            <w:tcW w:w="0" w:type="auto"/>
          </w:tcPr>
          <w:p w14:paraId="5BFEA5F6">
            <w:pPr>
              <w:jc w:val="both"/>
            </w:pPr>
            <w:r>
              <w:t>High accuracy with moderate computational cost</w:t>
            </w:r>
          </w:p>
        </w:tc>
        <w:tc>
          <w:tcPr>
            <w:tcW w:w="0" w:type="auto"/>
          </w:tcPr>
          <w:p w14:paraId="176DE564">
            <w:pPr>
              <w:jc w:val="both"/>
            </w:pPr>
            <w:r>
              <w:t>Crop monitoring, plant classification</w:t>
            </w:r>
          </w:p>
        </w:tc>
      </w:tr>
    </w:tbl>
    <w:p w14:paraId="3A09DC73">
      <w:pPr>
        <w:jc w:val="both"/>
      </w:pPr>
    </w:p>
    <w:p w14:paraId="7FA3FC45">
      <w:pPr>
        <w:pStyle w:val="3"/>
        <w:jc w:val="both"/>
        <w:rPr>
          <w:sz w:val="28"/>
          <w:szCs w:val="28"/>
        </w:rPr>
      </w:pPr>
      <w:r>
        <w:rPr>
          <w:rStyle w:val="9"/>
          <w:b/>
          <w:bCs/>
          <w:sz w:val="28"/>
          <w:szCs w:val="28"/>
        </w:rPr>
        <w:t>2.3 Gaps in Existing Studies</w:t>
      </w:r>
    </w:p>
    <w:p w14:paraId="69FA6ACF">
      <w:pPr>
        <w:pStyle w:val="8"/>
        <w:jc w:val="both"/>
      </w:pPr>
      <w:r>
        <w:t xml:space="preserve">Modern Convolutional Neural Networks (CNNs) have consistently outperformed traditional machine learning approaches in tasks such as fruit variety recognition, ripeness estimation, disease detection, and quality assessment [1]. However, despite these technological advancements, a detailed examination of existing research reveals several important limitations that hinder the practical adoption of intelligent mango classification systems in real-world agricultural environments. </w:t>
      </w:r>
    </w:p>
    <w:p w14:paraId="45446084">
      <w:pPr>
        <w:pStyle w:val="8"/>
        <w:jc w:val="both"/>
      </w:pPr>
      <w:r>
        <w:t xml:space="preserve">One of the most prominent limitations is the widespread use of </w:t>
      </w:r>
      <w:r>
        <w:rPr>
          <w:rStyle w:val="9"/>
        </w:rPr>
        <w:t>computationally intensive deep learning architectures</w:t>
      </w:r>
      <w:r>
        <w:t>. Many recent studies employ models such as ResNet, DenseNet, Inception, and EfficientNet because of their superior feature extraction capabilities and high classification accuracy [2]. Although these architectures perform exceptionally well on high-performance computing platforms equipped with Graphics Processing Units (GPUs), they often contain millions of trainable parameters and require substantial memory, processing power, and storage capacity. Such computational demands make them unsuitable for direct deployment on smartphones and embedded devices commonly available in agricultural communities, particularly in developing countries such as Bangladesh. Consequently, many high-performing models remain confined to laboratory environments without practical field implementation.</w:t>
      </w:r>
    </w:p>
    <w:p w14:paraId="559DF839">
      <w:pPr>
        <w:pStyle w:val="8"/>
        <w:jc w:val="both"/>
      </w:pPr>
      <w:r>
        <w:t xml:space="preserve">Another significant research gap is the </w:t>
      </w:r>
      <w:r>
        <w:rPr>
          <w:rStyle w:val="9"/>
        </w:rPr>
        <w:t>limited consideration of deployment-oriented evaluation metrics</w:t>
      </w:r>
      <w:r>
        <w:t>. The majority of published studies assess model performance primarily using classification accuracy, precision, recall, and F1-score. While these metrics effectively measure predictive capability, they do not fully reflect the practical requirements of mobile and edge computing applications. In real-world deployment scenarios, factors such as model size, inference latency, memory consumption, computational complexity, and energy efficiency are equally important because they directly influence user experience and device performance. A model that achieves marginally higher classification accuracy may still be unsuitable for mobile deployment if it requires excessive storage space or produces slow inference on resource-constrained hardware. Therefore, selecting an appropriate model for Edge AI applications requires a balanced evaluation that simultaneously considers both predictive performance and deployment efficiency.</w:t>
      </w:r>
    </w:p>
    <w:p w14:paraId="0590D057">
      <w:pPr>
        <w:pStyle w:val="8"/>
        <w:jc w:val="both"/>
      </w:pPr>
      <w:r>
        <w:t xml:space="preserve">The literature also indicates a </w:t>
      </w:r>
      <w:r>
        <w:rPr>
          <w:rStyle w:val="9"/>
        </w:rPr>
        <w:t>lack of comprehensive benchmarking among lightweight CNN architectures</w:t>
      </w:r>
      <w:r>
        <w:t>. Existing studies often evaluate a single model or compare only two architectures using different datasets and experimental settings, making objective comparison difficult. Variations in preprocessing techniques, training strategies, data augmentation methods, and evaluation protocols frequently lead to inconsistent performance comparisons across different publications [3]. As a result, there is limited evidence identifying which lightweight architecture offers the most suitable trade-off between recognition accuracy, computational efficiency, and deployment feasibility for mobile agricultural applications.</w:t>
      </w:r>
    </w:p>
    <w:p w14:paraId="44DBBF11">
      <w:pPr>
        <w:pStyle w:val="8"/>
        <w:jc w:val="both"/>
      </w:pPr>
      <w:r>
        <w:t xml:space="preserve">A further limitation concerns the </w:t>
      </w:r>
      <w:r>
        <w:rPr>
          <w:rStyle w:val="9"/>
        </w:rPr>
        <w:t>underrepresentation of indigenous Bangladeshi mango varieties</w:t>
      </w:r>
      <w:r>
        <w:t xml:space="preserve"> in existing research. Most publicly available datasets and published studies focus on internationally recognized cultivars such as Kent, Alphonso, Tommy Atkins, or Aiwen [4]. While these datasets have contributed substantially to the advancement of fruit classification research, they do not adequately represent the unique diversity of Bangladeshi mango varieties. Indigenous cultivars including Amrapali, Harivanga, Langra, Kanchon Langra, Bari-4, Bari-7, Katimon, Mollika, Fazlee, and Nilambori exhibit subtle morphological differences that create a significantly more challenging fine-grained classification problem. Models trained on international datasets may therefore struggle to generalize effectively when applied to these local varieties.</w:t>
      </w:r>
    </w:p>
    <w:p w14:paraId="0FC89C41">
      <w:pPr>
        <w:pStyle w:val="8"/>
        <w:jc w:val="both"/>
      </w:pPr>
      <w:r>
        <w:t xml:space="preserve">Another notable gap is the continued </w:t>
      </w:r>
      <w:r>
        <w:rPr>
          <w:rStyle w:val="9"/>
        </w:rPr>
        <w:t>dependence on cloud-based inference systems</w:t>
      </w:r>
      <w:r>
        <w:t>. Many intelligent agricultural applications transmit captured images to remote cloud servers for prediction before returning the classification result to the user. Although cloud computing provides virtually unlimited computational resources, it introduces several practical challenges, including network latency, dependence on stable internet connectivity, increased communication costs, and potential privacy concerns [5]. These limitations are particularly problematic in rural agricultural regions where internet connectivity may be unreliable or unavailable. Consequently, cloud-dependent systems often fail to satisfy the real-time operational requirements of farmers and field workers.</w:t>
      </w:r>
    </w:p>
    <w:p w14:paraId="3EF81323">
      <w:pPr>
        <w:pStyle w:val="8"/>
        <w:jc w:val="both"/>
      </w:pPr>
      <w:r>
        <w:t xml:space="preserve">Furthermore, existing studies rarely demonstrate a </w:t>
      </w:r>
      <w:r>
        <w:rPr>
          <w:rStyle w:val="9"/>
        </w:rPr>
        <w:t>complete end-to-end deployment pipeline</w:t>
      </w:r>
      <w:r>
        <w:t>. In many cases, research concludes after reporting experimental accuracy obtained in desktop environments, without validating whether the trained model can be optimized, converted, and integrated into a practical mobile application. Essential deployment stages—including TensorFlow Lite conversion, model quantization, mobile inference optimization, and user interface integration—are frequently omitted. This creates a gap between algorithm development and practical implementation, limiting the real-world applicability of many proposed solutions.</w:t>
      </w:r>
    </w:p>
    <w:p w14:paraId="6426CAEB">
      <w:pPr>
        <w:pStyle w:val="8"/>
        <w:jc w:val="both"/>
      </w:pPr>
      <w:r>
        <w:t xml:space="preserve">Based on these observations, it is evident that current research has not fully addressed the combined challenges of </w:t>
      </w:r>
      <w:r>
        <w:rPr>
          <w:rStyle w:val="9"/>
        </w:rPr>
        <w:t>classification accuracy, computational efficiency, deployment optimization, and practical usability</w:t>
      </w:r>
      <w:r>
        <w:t xml:space="preserve"> within a single unified framework. There remains a clear need for an integrated Edge AI solution capable of accurately classifying indigenous Bangladeshi mango varieties while simultaneously satisfying the computational constraints of modern mobile devices.</w:t>
      </w:r>
    </w:p>
    <w:p w14:paraId="7E3C6FE8">
      <w:pPr>
        <w:pStyle w:val="8"/>
        <w:jc w:val="both"/>
      </w:pPr>
      <w:r>
        <w:t>To address these limitations, the present research proposes a comprehensive deployment-oriented framework that differs from previous studies in several important aspects. First, five lightweight transfer learning-based CNN architectures—</w:t>
      </w:r>
      <w:r>
        <w:rPr>
          <w:rStyle w:val="9"/>
        </w:rPr>
        <w:t>MobileNetV2, MobileNetV3-Small, EfficientNetV2B0, DenseNet121, and NASNetMobile</w:t>
      </w:r>
      <w:r>
        <w:t xml:space="preserve">—are benchmarked using a unified experimental protocol to ensure fair comparison. Second, model selection is based not only on classification accuracy but also on deployment-related metrics including weighted F1-score, model size, and inference latency. Third, the selected architecture is optimized through </w:t>
      </w:r>
      <w:r>
        <w:rPr>
          <w:rStyle w:val="9"/>
        </w:rPr>
        <w:t>TensorFlow Lite (TFLite) Float16 post-training quantization</w:t>
      </w:r>
      <w:r>
        <w:t xml:space="preserve"> to reduce storage requirements while maintaining predictive performance. Finally, the optimized model is integrated into the </w:t>
      </w:r>
      <w:r>
        <w:rPr>
          <w:rStyle w:val="9"/>
        </w:rPr>
        <w:t>AmmChini AI</w:t>
      </w:r>
      <w:r>
        <w:t xml:space="preserve"> Android application, enabling fully offline, real-time mango variety classification directly on smartphones without requiring internet connectivity. By combining comparative benchmarking, deployment optimization, and mobile implementation within a single framework, this research aims to bridge the gap between academic deep learning research and practical precision agriculture applications.</w:t>
      </w:r>
    </w:p>
    <w:p w14:paraId="4E19A606">
      <w:pPr>
        <w:pStyle w:val="4"/>
        <w:jc w:val="both"/>
      </w:pPr>
      <w:r>
        <w:rPr>
          <w:rStyle w:val="9"/>
          <w:b/>
          <w:bCs/>
          <w:sz w:val="24"/>
          <w:szCs w:val="24"/>
        </w:rPr>
        <w:t>Table 2.2 Research Gaps Identified from Existing Literature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5"/>
        <w:gridCol w:w="2795"/>
        <w:gridCol w:w="3202"/>
      </w:tblGrid>
      <w:tr w14:paraId="7107B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CAD44D">
            <w:pPr>
              <w:jc w:val="both"/>
              <w:rPr>
                <w:b/>
                <w:bCs/>
              </w:rPr>
            </w:pPr>
            <w:r>
              <w:rPr>
                <w:rStyle w:val="9"/>
              </w:rPr>
              <w:t>Research Gap</w:t>
            </w:r>
          </w:p>
        </w:tc>
        <w:tc>
          <w:tcPr>
            <w:tcW w:w="0" w:type="auto"/>
          </w:tcPr>
          <w:p w14:paraId="6C0CCB13">
            <w:pPr>
              <w:jc w:val="both"/>
              <w:rPr>
                <w:b/>
                <w:bCs/>
              </w:rPr>
            </w:pPr>
            <w:r>
              <w:rPr>
                <w:rStyle w:val="9"/>
              </w:rPr>
              <w:t>Observation in Existing Studies</w:t>
            </w:r>
          </w:p>
        </w:tc>
        <w:tc>
          <w:tcPr>
            <w:tcW w:w="0" w:type="auto"/>
          </w:tcPr>
          <w:p w14:paraId="1C065DE4">
            <w:pPr>
              <w:jc w:val="both"/>
              <w:rPr>
                <w:b/>
                <w:bCs/>
              </w:rPr>
            </w:pPr>
            <w:r>
              <w:rPr>
                <w:rStyle w:val="9"/>
              </w:rPr>
              <w:t>How This Research Addresses the Gap</w:t>
            </w:r>
          </w:p>
        </w:tc>
      </w:tr>
      <w:tr w14:paraId="481A7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71333D">
            <w:pPr>
              <w:jc w:val="both"/>
            </w:pPr>
            <w:r>
              <w:t>Computationally expensive deep learning models</w:t>
            </w:r>
          </w:p>
        </w:tc>
        <w:tc>
          <w:tcPr>
            <w:tcW w:w="0" w:type="auto"/>
          </w:tcPr>
          <w:p w14:paraId="74673C8F">
            <w:pPr>
              <w:jc w:val="both"/>
            </w:pPr>
            <w:r>
              <w:t>High-performing CNNs often require GPUs and cloud infrastructure</w:t>
            </w:r>
          </w:p>
        </w:tc>
        <w:tc>
          <w:tcPr>
            <w:tcW w:w="0" w:type="auto"/>
          </w:tcPr>
          <w:p w14:paraId="6417111B">
            <w:pPr>
              <w:jc w:val="both"/>
            </w:pPr>
            <w:r>
              <w:t>Evaluates lightweight CNNs suitable for resource-constrained mobile devices</w:t>
            </w:r>
          </w:p>
        </w:tc>
      </w:tr>
      <w:tr w14:paraId="4E3E5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7E2C51">
            <w:pPr>
              <w:jc w:val="both"/>
            </w:pPr>
            <w:r>
              <w:t>Accuracy-focused evaluation</w:t>
            </w:r>
          </w:p>
        </w:tc>
        <w:tc>
          <w:tcPr>
            <w:tcW w:w="0" w:type="auto"/>
          </w:tcPr>
          <w:p w14:paraId="3CC37662">
            <w:pPr>
              <w:jc w:val="both"/>
            </w:pPr>
            <w:r>
              <w:t>Most studies prioritize classification accuracy over deployment efficiency</w:t>
            </w:r>
          </w:p>
        </w:tc>
        <w:tc>
          <w:tcPr>
            <w:tcW w:w="0" w:type="auto"/>
          </w:tcPr>
          <w:p w14:paraId="22749233">
            <w:pPr>
              <w:jc w:val="both"/>
            </w:pPr>
            <w:r>
              <w:t>Considers accuracy, weighted F1-score, model size, and inference latency</w:t>
            </w:r>
          </w:p>
        </w:tc>
      </w:tr>
      <w:tr w14:paraId="4B02C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95D74D">
            <w:pPr>
              <w:jc w:val="both"/>
            </w:pPr>
            <w:r>
              <w:t>Limited benchmarking of lightweight models</w:t>
            </w:r>
          </w:p>
        </w:tc>
        <w:tc>
          <w:tcPr>
            <w:tcW w:w="0" w:type="auto"/>
          </w:tcPr>
          <w:p w14:paraId="31E30F25">
            <w:pPr>
              <w:jc w:val="both"/>
            </w:pPr>
            <w:r>
              <w:t>Comparisons are generally restricted to one or two architectures</w:t>
            </w:r>
          </w:p>
        </w:tc>
        <w:tc>
          <w:tcPr>
            <w:tcW w:w="0" w:type="auto"/>
          </w:tcPr>
          <w:p w14:paraId="12E1009E">
            <w:pPr>
              <w:jc w:val="both"/>
            </w:pPr>
            <w:r>
              <w:t>Benchmarks five lightweight CNN architectures using identical experimental settings</w:t>
            </w:r>
          </w:p>
        </w:tc>
      </w:tr>
      <w:tr w14:paraId="198D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F353A4">
            <w:pPr>
              <w:jc w:val="both"/>
            </w:pPr>
            <w:r>
              <w:t>Limited research on Bangladeshi mango varieties</w:t>
            </w:r>
          </w:p>
        </w:tc>
        <w:tc>
          <w:tcPr>
            <w:tcW w:w="0" w:type="auto"/>
          </w:tcPr>
          <w:p w14:paraId="33449155">
            <w:pPr>
              <w:jc w:val="both"/>
            </w:pPr>
            <w:r>
              <w:t>Existing datasets mainly contain international commercial cultivars</w:t>
            </w:r>
          </w:p>
        </w:tc>
        <w:tc>
          <w:tcPr>
            <w:tcW w:w="0" w:type="auto"/>
          </w:tcPr>
          <w:p w14:paraId="443D8C43">
            <w:pPr>
              <w:jc w:val="both"/>
            </w:pPr>
            <w:r>
              <w:t>Focuses on ten indigenous Bangladeshi mango varieties</w:t>
            </w:r>
          </w:p>
        </w:tc>
      </w:tr>
      <w:tr w14:paraId="22FD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0E3585">
            <w:pPr>
              <w:jc w:val="both"/>
            </w:pPr>
            <w:r>
              <w:t>Dependence on cloud-based inference</w:t>
            </w:r>
          </w:p>
        </w:tc>
        <w:tc>
          <w:tcPr>
            <w:tcW w:w="0" w:type="auto"/>
          </w:tcPr>
          <w:p w14:paraId="7E915C4A">
            <w:pPr>
              <w:jc w:val="both"/>
            </w:pPr>
            <w:r>
              <w:t>Most systems require internet connectivity for prediction</w:t>
            </w:r>
          </w:p>
        </w:tc>
        <w:tc>
          <w:tcPr>
            <w:tcW w:w="0" w:type="auto"/>
          </w:tcPr>
          <w:p w14:paraId="752483B0">
            <w:pPr>
              <w:jc w:val="both"/>
            </w:pPr>
            <w:r>
              <w:t>Develops a fully offline Edge AI solution using TensorFlow Lite</w:t>
            </w:r>
          </w:p>
        </w:tc>
      </w:tr>
      <w:tr w14:paraId="4534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4CEA57">
            <w:pPr>
              <w:jc w:val="both"/>
            </w:pPr>
            <w:r>
              <w:t>Lack of end-to-end deployment</w:t>
            </w:r>
          </w:p>
        </w:tc>
        <w:tc>
          <w:tcPr>
            <w:tcW w:w="0" w:type="auto"/>
          </w:tcPr>
          <w:p w14:paraId="708B8CA2">
            <w:pPr>
              <w:jc w:val="both"/>
            </w:pPr>
            <w:r>
              <w:t>Research often ends after model training and evaluation</w:t>
            </w:r>
          </w:p>
        </w:tc>
        <w:tc>
          <w:tcPr>
            <w:tcW w:w="0" w:type="auto"/>
          </w:tcPr>
          <w:p w14:paraId="1D3E18CF">
            <w:pPr>
              <w:jc w:val="both"/>
            </w:pPr>
            <w:r>
              <w:t>Implements complete deployment from benchmarking to Flutter-based mobile application</w:t>
            </w:r>
          </w:p>
        </w:tc>
      </w:tr>
    </w:tbl>
    <w:p w14:paraId="7571A034">
      <w:pPr>
        <w:spacing w:before="100" w:beforeAutospacing="1" w:after="100" w:afterAutospacing="1"/>
        <w:jc w:val="both"/>
        <w:outlineLvl w:val="1"/>
        <w:rPr>
          <w:b/>
          <w:bCs/>
          <w:sz w:val="28"/>
          <w:szCs w:val="28"/>
        </w:rPr>
      </w:pPr>
      <w:r>
        <w:rPr>
          <w:b/>
          <w:bCs/>
          <w:sz w:val="28"/>
          <w:szCs w:val="28"/>
        </w:rPr>
        <w:t>2.4 Summary of Research Gap</w:t>
      </w:r>
    </w:p>
    <w:p w14:paraId="0555DC07">
      <w:pPr>
        <w:spacing w:before="100" w:beforeAutospacing="1" w:after="100" w:afterAutospacing="1"/>
        <w:jc w:val="both"/>
      </w:pPr>
      <w:r>
        <w:t>The literature reviewed in the preceding sections demonstrates that deep learning has substantially advanced the field of automated mango classification. Recent studies have shown that Convolutional Neural Networks (CNNs) consistently outperform traditional machine learning approaches by automatically learning discriminative visual features from image data, resulting in significant improvements in classification accuracy [1]. Furthermore, transfer learning has become the preferred strategy for agricultural image classification because it enables pre-trained models to achieve high predictive performance even when domain-specific datasets are relatively small. These developments clearly establish deep learning as an effective solution for fruit variety recognition and precision agriculture applications.</w:t>
      </w:r>
    </w:p>
    <w:p w14:paraId="7322B720">
      <w:pPr>
        <w:spacing w:before="100" w:beforeAutospacing="1" w:after="100" w:afterAutospacing="1"/>
        <w:jc w:val="both"/>
      </w:pPr>
      <w:r>
        <w:t>Despite these advancements, the existing body of research reveals a noticeable gap between algorithmic development and practical deployment. Most previous studies prioritize predictive accuracy while paying comparatively little attention to deployment-oriented considerations such as computational efficiency, model size, inference latency, and hardware constraints. As a result, many high-performing models require substantial computational resources and are primarily evaluated on desktop workstations or cloud-based infrastructures. Although these architectures perform exceptionally well in laboratory environments, they often fail to satisfy the practical requirements of real-time inference on resource-constrained mobile devices commonly used in agricultural field operations.</w:t>
      </w:r>
    </w:p>
    <w:p w14:paraId="4C39E10B">
      <w:pPr>
        <w:spacing w:before="100" w:beforeAutospacing="1" w:after="100" w:afterAutospacing="1"/>
        <w:jc w:val="both"/>
      </w:pPr>
      <w:r>
        <w:t>Another important limitation identified in the literature is the insufficient emphasis on comprehensive lightweight model benchmarking. Existing studies frequently evaluate only one or two deep learning architectures, making it difficult to objectively determine which model offers the best balance between predictive performance and deployment efficiency. Moreover, many published comparisons rely exclusively on accuracy-based evaluation while overlooking equally important engineering metrics such as model storage size, inference latency, memory consumption, and mobile execution performance. For Edge Artificial Intelligence (Edge AI) applications, these deployment-oriented metrics are critical because they directly influence user experience, battery consumption, responsiveness, and scalability on portable devices.</w:t>
      </w:r>
    </w:p>
    <w:p w14:paraId="2AAA031D">
      <w:pPr>
        <w:spacing w:before="100" w:beforeAutospacing="1" w:after="100" w:afterAutospacing="1"/>
        <w:jc w:val="both"/>
      </w:pPr>
      <w:r>
        <w:t>The review also highlights the limited research conducted on indigenous Bangladeshi mango varieties. Most internationally available datasets and published studies focus on globally commercial cultivars such as Kent, Alphonso, Aiwen, or Tommy Atkins, whereas relatively few investigations consider the unique morphological characteristics of Bangladeshi mangoes. Indigenous cultivars including Amrapali, Harivanga, Langra, Kanchon Langra, Bari-4, Bari-7, Katimon, Mollika, Fazlee, and Nilambori exhibit subtle visual differences that create a challenging fine-grained image classification problem. Consequently, there remains a need for research specifically addressing lightweight deep learning models capable of accurately recognizing these local varieties while maintaining practical deployment feasibility.</w:t>
      </w:r>
    </w:p>
    <w:p w14:paraId="5EBA153A">
      <w:pPr>
        <w:spacing w:before="100" w:beforeAutospacing="1" w:after="100" w:afterAutospacing="1"/>
        <w:jc w:val="both"/>
      </w:pPr>
      <w:r>
        <w:t>Furthermore, although TensorFlow Lite and modern mobile AI frameworks have significantly simplified on-device inference, comparatively few studies present a complete end-to-end deployment pipeline extending beyond model training. Many investigations conclude after reporting experimental performance metrics without demonstrating whether the trained model can be optimized, converted, integrated into a mobile application, and executed entirely offline under real-world conditions. This disconnect between algorithm development and practical implementation limits the real-world impact of many existing agricultural AI solutions.</w:t>
      </w:r>
    </w:p>
    <w:p w14:paraId="43290BB6">
      <w:pPr>
        <w:spacing w:before="100" w:beforeAutospacing="1" w:after="100" w:afterAutospacing="1"/>
        <w:jc w:val="both"/>
      </w:pPr>
      <w:r>
        <w:t xml:space="preserve">Based on these observations, the present research is designed to address the identified gaps through a comprehensive deployment-oriented Edge AI framework. Unlike previous studies, this work systematically benchmarks </w:t>
      </w:r>
      <w:r>
        <w:rPr>
          <w:b/>
          <w:bCs/>
        </w:rPr>
        <w:t>five lightweight transfer learning-based convolutional neural networks—MobileNetV2, MobileNetV3-Small, EfficientNetV2B0, DenseNet121, and NASNetMobile—using a unified experimental protocol</w:t>
      </w:r>
      <w:r>
        <w:t xml:space="preserve">. Rather than selecting the best architecture solely according to classification accuracy, the proposed framework performs a multi-objective evaluation incorporating </w:t>
      </w:r>
      <w:r>
        <w:rPr>
          <w:b/>
          <w:bCs/>
        </w:rPr>
        <w:t>accuracy, precision, recall, weighted F1-score, model storage size, and inference latency</w:t>
      </w:r>
      <w:r>
        <w:t>. This balanced evaluation enables the identification of the most suitable architecture for deployment on resource-constrained Android devices.</w:t>
      </w:r>
    </w:p>
    <w:p w14:paraId="183C867A">
      <w:pPr>
        <w:spacing w:before="100" w:beforeAutospacing="1" w:after="100" w:afterAutospacing="1"/>
        <w:jc w:val="both"/>
      </w:pPr>
      <w:r>
        <w:t xml:space="preserve">After selecting the optimal model, the research further extends beyond conventional benchmarking by applying </w:t>
      </w:r>
      <w:r>
        <w:rPr>
          <w:b/>
          <w:bCs/>
        </w:rPr>
        <w:t>TensorFlow Lite (TFLite) Float16 post-training quantization</w:t>
      </w:r>
      <w:r>
        <w:t xml:space="preserve">, reducing storage requirements while preserving predictive performance for efficient mobile inference. Finally, the optimized model is integrated into </w:t>
      </w:r>
      <w:r>
        <w:rPr>
          <w:b/>
          <w:bCs/>
        </w:rPr>
        <w:t>AmmChini AI</w:t>
      </w:r>
      <w:r>
        <w:t xml:space="preserve">, a Flutter-based Android application capable of performing </w:t>
      </w:r>
      <w:r>
        <w:rPr>
          <w:b/>
          <w:bCs/>
        </w:rPr>
        <w:t>fully offline, real-time mango variety classification</w:t>
      </w:r>
      <w:r>
        <w:t xml:space="preserve"> directly on the user's smartphone without requiring cloud connectivity. By combining comparative benchmarking, deployment-aware optimization, and practical mobile implementation within a single framework, this research bridges the gap between academic deep learning research and real-world agricultural applications.</w:t>
      </w:r>
    </w:p>
    <w:p w14:paraId="51486FCA">
      <w:pPr>
        <w:spacing w:before="100" w:beforeAutospacing="1" w:after="100" w:afterAutospacing="1"/>
        <w:jc w:val="both"/>
        <w:outlineLvl w:val="2"/>
        <w:rPr>
          <w:b/>
          <w:bCs/>
          <w:sz w:val="24"/>
          <w:szCs w:val="24"/>
        </w:rPr>
      </w:pPr>
      <w:bookmarkStart w:id="0" w:name="_GoBack"/>
      <w:bookmarkEnd w:id="0"/>
      <w:r>
        <w:rPr>
          <w:b/>
          <w:bCs/>
          <w:sz w:val="24"/>
          <w:szCs w:val="24"/>
        </w:rPr>
        <w:t>Table 2.3 Summary of Identified Research Gaps and Contributions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3"/>
        <w:gridCol w:w="2871"/>
        <w:gridCol w:w="3228"/>
      </w:tblGrid>
      <w:tr w14:paraId="0698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0733BC">
            <w:pPr>
              <w:jc w:val="both"/>
              <w:rPr>
                <w:b/>
                <w:bCs/>
              </w:rPr>
            </w:pPr>
            <w:r>
              <w:rPr>
                <w:b/>
                <w:bCs/>
              </w:rPr>
              <w:t>Research Gap</w:t>
            </w:r>
          </w:p>
        </w:tc>
        <w:tc>
          <w:tcPr>
            <w:tcW w:w="0" w:type="auto"/>
          </w:tcPr>
          <w:p w14:paraId="26D52097">
            <w:pPr>
              <w:jc w:val="both"/>
              <w:rPr>
                <w:b/>
                <w:bCs/>
              </w:rPr>
            </w:pPr>
            <w:r>
              <w:rPr>
                <w:b/>
                <w:bCs/>
              </w:rPr>
              <w:t>Observation from Existing Studies</w:t>
            </w:r>
          </w:p>
        </w:tc>
        <w:tc>
          <w:tcPr>
            <w:tcW w:w="0" w:type="auto"/>
          </w:tcPr>
          <w:p w14:paraId="0A418B6C">
            <w:pPr>
              <w:jc w:val="both"/>
              <w:rPr>
                <w:b/>
                <w:bCs/>
              </w:rPr>
            </w:pPr>
            <w:r>
              <w:rPr>
                <w:b/>
                <w:bCs/>
              </w:rPr>
              <w:t>Contribution of This Research</w:t>
            </w:r>
          </w:p>
        </w:tc>
      </w:tr>
      <w:tr w14:paraId="0FA7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D76525E">
            <w:pPr>
              <w:jc w:val="both"/>
            </w:pPr>
            <w:r>
              <w:t>Focus on predictive accuracy</w:t>
            </w:r>
          </w:p>
        </w:tc>
        <w:tc>
          <w:tcPr>
            <w:tcW w:w="0" w:type="auto"/>
          </w:tcPr>
          <w:p w14:paraId="33F0E8FF">
            <w:pPr>
              <w:jc w:val="both"/>
            </w:pPr>
            <w:r>
              <w:t>Most studies prioritize classification accuracy over deployment feasibility</w:t>
            </w:r>
          </w:p>
        </w:tc>
        <w:tc>
          <w:tcPr>
            <w:tcW w:w="0" w:type="auto"/>
          </w:tcPr>
          <w:p w14:paraId="4593211F">
            <w:pPr>
              <w:jc w:val="both"/>
            </w:pPr>
            <w:r>
              <w:t>Evaluates both predictive performance and deployment-oriented metrics</w:t>
            </w:r>
          </w:p>
        </w:tc>
      </w:tr>
      <w:tr w14:paraId="63A36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595F0C">
            <w:pPr>
              <w:jc w:val="both"/>
            </w:pPr>
            <w:r>
              <w:t>Limited lightweight model comparison</w:t>
            </w:r>
          </w:p>
        </w:tc>
        <w:tc>
          <w:tcPr>
            <w:tcW w:w="0" w:type="auto"/>
          </w:tcPr>
          <w:p w14:paraId="153C318F">
            <w:pPr>
              <w:jc w:val="both"/>
            </w:pPr>
            <w:r>
              <w:t>Comparisons usually involve only one or two CNN architectures</w:t>
            </w:r>
          </w:p>
        </w:tc>
        <w:tc>
          <w:tcPr>
            <w:tcW w:w="0" w:type="auto"/>
          </w:tcPr>
          <w:p w14:paraId="3B8400EE">
            <w:pPr>
              <w:jc w:val="both"/>
            </w:pPr>
            <w:r>
              <w:t>Benchmarks five lightweight CNN models under identical experimental conditions</w:t>
            </w:r>
          </w:p>
        </w:tc>
      </w:tr>
      <w:tr w14:paraId="6E75B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16D7D5">
            <w:pPr>
              <w:jc w:val="both"/>
            </w:pPr>
            <w:r>
              <w:t>Insufficient deployment evaluation</w:t>
            </w:r>
          </w:p>
        </w:tc>
        <w:tc>
          <w:tcPr>
            <w:tcW w:w="0" w:type="auto"/>
          </w:tcPr>
          <w:p w14:paraId="7CAEF21C">
            <w:pPr>
              <w:jc w:val="both"/>
            </w:pPr>
            <w:r>
              <w:t>Model size, latency, and mobile execution are often ignored</w:t>
            </w:r>
          </w:p>
        </w:tc>
        <w:tc>
          <w:tcPr>
            <w:tcW w:w="0" w:type="auto"/>
          </w:tcPr>
          <w:p w14:paraId="3D14A47B">
            <w:pPr>
              <w:jc w:val="both"/>
            </w:pPr>
            <w:r>
              <w:t>Includes model size, inference latency, and Edge AI performance evaluation</w:t>
            </w:r>
          </w:p>
        </w:tc>
      </w:tr>
      <w:tr w14:paraId="47C47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0AAAC1">
            <w:pPr>
              <w:jc w:val="both"/>
            </w:pPr>
            <w:r>
              <w:t>Cloud-dependent inference</w:t>
            </w:r>
          </w:p>
        </w:tc>
        <w:tc>
          <w:tcPr>
            <w:tcW w:w="0" w:type="auto"/>
          </w:tcPr>
          <w:p w14:paraId="50656F4F">
            <w:pPr>
              <w:jc w:val="both"/>
            </w:pPr>
            <w:r>
              <w:t>Most intelligent systems rely on internet connectivity</w:t>
            </w:r>
          </w:p>
        </w:tc>
        <w:tc>
          <w:tcPr>
            <w:tcW w:w="0" w:type="auto"/>
          </w:tcPr>
          <w:p w14:paraId="03C8381F">
            <w:pPr>
              <w:jc w:val="both"/>
            </w:pPr>
            <w:r>
              <w:t>Develops a fully offline TensorFlow Lite-based mobile solution</w:t>
            </w:r>
          </w:p>
        </w:tc>
      </w:tr>
      <w:tr w14:paraId="6F13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B0D790F">
            <w:pPr>
              <w:jc w:val="both"/>
            </w:pPr>
            <w:r>
              <w:t>Limited work on Bangladeshi mango varieties</w:t>
            </w:r>
          </w:p>
        </w:tc>
        <w:tc>
          <w:tcPr>
            <w:tcW w:w="0" w:type="auto"/>
          </w:tcPr>
          <w:p w14:paraId="4D925FBC">
            <w:pPr>
              <w:jc w:val="both"/>
            </w:pPr>
            <w:r>
              <w:t>Existing research primarily targets international commercial cultivars</w:t>
            </w:r>
          </w:p>
        </w:tc>
        <w:tc>
          <w:tcPr>
            <w:tcW w:w="0" w:type="auto"/>
          </w:tcPr>
          <w:p w14:paraId="7A3CB3CE">
            <w:pPr>
              <w:jc w:val="both"/>
            </w:pPr>
            <w:r>
              <w:t>Focuses on ten indigenous Bangladeshi mango varieties</w:t>
            </w:r>
          </w:p>
        </w:tc>
      </w:tr>
      <w:tr w14:paraId="1BEB5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923C727">
            <w:pPr>
              <w:jc w:val="both"/>
            </w:pPr>
            <w:r>
              <w:t>Lack of end-to-end implementation</w:t>
            </w:r>
          </w:p>
        </w:tc>
        <w:tc>
          <w:tcPr>
            <w:tcW w:w="0" w:type="auto"/>
          </w:tcPr>
          <w:p w14:paraId="0C459DE6">
            <w:pPr>
              <w:jc w:val="both"/>
            </w:pPr>
            <w:r>
              <w:t>Research often ends after model training</w:t>
            </w:r>
          </w:p>
        </w:tc>
        <w:tc>
          <w:tcPr>
            <w:tcW w:w="0" w:type="auto"/>
          </w:tcPr>
          <w:p w14:paraId="1051072B">
            <w:pPr>
              <w:jc w:val="both"/>
            </w:pPr>
            <w:r>
              <w:t>Proposes a complete pipeline from benchmarking to Flutter-based mobile deployment</w:t>
            </w:r>
          </w:p>
        </w:tc>
      </w:tr>
    </w:tbl>
    <w:p w14:paraId="6B3642C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angal">
    <w:altName w:val="Segoe Print"/>
    <w:panose1 w:val="02040503050203030202"/>
    <w:charset w:val="01"/>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253784"/>
    <w:multiLevelType w:val="multilevel"/>
    <w:tmpl w:val="302537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C59D8"/>
    <w:rsid w:val="064C59D8"/>
    <w:rsid w:val="26E72012"/>
    <w:rsid w:val="75630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kern w:val="0"/>
      <w:sz w:val="24"/>
      <w:szCs w:val="24"/>
      <w:lang w:val="zh-CN" w:eastAsia="en-GB" w:bidi="hi-IN"/>
      <w14:ligatures w14:val="none"/>
    </w:rPr>
  </w:style>
  <w:style w:type="paragraph" w:styleId="2">
    <w:name w:val="heading 1"/>
    <w:basedOn w:val="1"/>
    <w:next w:val="1"/>
    <w:qFormat/>
    <w:uiPriority w:val="9"/>
    <w:pPr>
      <w:keepNext/>
      <w:keepLines/>
      <w:spacing w:before="240"/>
      <w:outlineLvl w:val="0"/>
    </w:pPr>
    <w:rPr>
      <w:rFonts w:cs="Mangal" w:asciiTheme="majorHAnsi" w:hAnsiTheme="majorHAnsi" w:eastAsiaTheme="majorEastAsia"/>
      <w:color w:val="2E54A1" w:themeColor="accent1" w:themeShade="BF"/>
      <w:sz w:val="32"/>
      <w:szCs w:val="29"/>
    </w:rPr>
  </w:style>
  <w:style w:type="paragraph" w:styleId="3">
    <w:name w:val="heading 2"/>
    <w:basedOn w:val="1"/>
    <w:qFormat/>
    <w:uiPriority w:val="9"/>
    <w:pPr>
      <w:spacing w:before="100" w:beforeAutospacing="1" w:after="100" w:afterAutospacing="1"/>
      <w:outlineLvl w:val="1"/>
    </w:pPr>
    <w:rPr>
      <w:b/>
      <w:bCs/>
      <w:sz w:val="36"/>
      <w:szCs w:val="36"/>
    </w:rPr>
  </w:style>
  <w:style w:type="paragraph" w:styleId="4">
    <w:name w:val="heading 3"/>
    <w:basedOn w:val="1"/>
    <w:qFormat/>
    <w:uiPriority w:val="9"/>
    <w:pPr>
      <w:spacing w:before="100" w:beforeAutospacing="1" w:after="100" w:afterAutospacing="1"/>
      <w:outlineLvl w:val="2"/>
    </w:pPr>
    <w:rPr>
      <w:b/>
      <w:bCs/>
      <w:sz w:val="27"/>
      <w:szCs w:val="27"/>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unhideWhenUsed/>
    <w:qFormat/>
    <w:uiPriority w:val="99"/>
    <w:pPr>
      <w:spacing w:before="100" w:beforeAutospacing="1" w:after="100" w:afterAutospacing="1"/>
    </w:pPr>
  </w:style>
  <w:style w:type="character" w:styleId="9">
    <w:name w:val="Strong"/>
    <w:basedOn w:val="5"/>
    <w:qFormat/>
    <w:uiPriority w:val="22"/>
    <w:rPr>
      <w:b/>
      <w:bCs/>
    </w:rPr>
  </w:style>
  <w:style w:type="table" w:styleId="10">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4353</Words>
  <Characters>32097</Characters>
  <Lines>0</Lines>
  <Paragraphs>0</Paragraphs>
  <TotalTime>29</TotalTime>
  <ScaleCrop>false</ScaleCrop>
  <LinksUpToDate>false</LinksUpToDate>
  <CharactersWithSpaces>36301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2026-08-05T04:55:00Z</dcterms:created>
  <dc:creator>359_Redwana Jahan</dc:creator>
  <cp:lastModifiedBy>359_Redwana Jahan</cp:lastModifiedBy>
  <dcterms:modified xsi:type="dcterms:W3CDTF">2026-08-05T05:26:57Z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B6CB616B2F9A455FB6800FE2438BE5A0_11</vt:lpwstr>
  </property>
  <property fmtid="{D5CDD505-2E9C-101B-9397-08002B2CF9AE}" pid="4" name="KSOTemplateDocerSaveRecord">
    <vt:lpwstr>eyJoZGlkIjoiZjgxYTRhNzU5NWExZTRmZTg5NTFhZTRhYTA3MDViMzgiLCJ1c2VySWQiOiIzMTc4NjIyODE4MTExIn0=</vt:lpwstr>
  </property>
</Properties>
</file>