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CoV-2, but the current rate of spread limits its use</w:t>
      </w:r>
    </w:p>
    <w:p>
      <w:pPr>
        <w:spacing w:line="240" w:lineRule="auto"/>
      </w:pPr>
      <w:r>
        <w:t>due to the lack of diagnostic assay kits. This will</w:t>
      </w:r>
    </w:p>
    <w:p>
      <w:pPr>
        <w:spacing w:line="240" w:lineRule="auto"/>
      </w:pPr>
      <w:r>
        <w:t>further result in the extensive transmission of</w:t>
      </w:r>
    </w:p>
    <w:p>
      <w:pPr>
        <w:spacing w:line="240" w:lineRule="auto"/>
      </w:pPr>
      <w:r>
        <w:t>COVID-19, since only a portion of suspected cases</w:t>
      </w:r>
    </w:p>
    <w:p>
      <w:pPr>
        <w:spacing w:line="240" w:lineRule="auto"/>
      </w:pPr>
      <w:r>
        <w:t>can be diagnosed. In such situations, conventional</w:t>
      </w:r>
    </w:p>
    <w:p>
      <w:pPr>
        <w:spacing w:line="240" w:lineRule="auto"/>
      </w:pPr>
      <w:r>
        <w:t>serological assays, like enzyme-linked</w:t>
      </w:r>
    </w:p>
    <w:p>
      <w:pPr>
        <w:spacing w:line="240" w:lineRule="auto"/>
      </w:pPr>
      <w:r>
        <w:t>immunosorbent assay (ELISA), that are specific to</w:t>
      </w:r>
    </w:p>
    <w:p>
      <w:pPr>
        <w:spacing w:line="240" w:lineRule="auto"/>
      </w:pPr>
      <w:r>
        <w:t>COVID-19 IgM and IgG antibodies can be used as a</w:t>
      </w:r>
    </w:p>
    <w:p>
      <w:pPr>
        <w:spacing w:line="240" w:lineRule="auto"/>
      </w:pPr>
      <w:r>
        <w:t>high-throughput alternative (149). At present, there</w:t>
      </w:r>
    </w:p>
    <w:p>
      <w:pPr>
        <w:spacing w:line="240" w:lineRule="auto"/>
      </w:pPr>
      <w:r>
        <w:t>is no diagnostic kit available for detecting the SARS-</w:t>
      </w:r>
    </w:p>
    <w:p>
      <w:pPr>
        <w:spacing w:line="240" w:lineRule="auto"/>
      </w:pPr>
      <w:r>
        <w:t>CoV-2 antibody (150). The specific antibody profiles</w:t>
      </w:r>
    </w:p>
    <w:p>
      <w:pPr>
        <w:spacing w:line="240" w:lineRule="auto"/>
      </w:pPr>
      <w:r>
        <w:t>of COVID-19 patients were analyzed, and it was</w:t>
      </w:r>
    </w:p>
    <w:p>
      <w:pPr>
        <w:spacing w:line="240" w:lineRule="auto"/>
      </w:pPr>
      <w:r>
        <w:t>found that the IgM level lasted more than 1 month,</w:t>
      </w:r>
    </w:p>
    <w:p>
      <w:pPr>
        <w:spacing w:line="240" w:lineRule="auto"/>
      </w:pPr>
      <w:r>
        <w:t>indicating a prolonged stage of virus replication in</w:t>
      </w:r>
    </w:p>
    <w:p>
      <w:pPr>
        <w:spacing w:line="240" w:lineRule="auto"/>
      </w:pPr>
      <w:r>
        <w:t>SARS-CoV-2-infected patients. The IgG levels were</w:t>
      </w:r>
    </w:p>
    <w:p>
      <w:pPr>
        <w:spacing w:line="240" w:lineRule="auto"/>
      </w:pPr>
      <w:r>
        <w:t>found to increase only in the later stages of the</w:t>
      </w:r>
    </w:p>
    <w:p>
      <w:pPr>
        <w:spacing w:line="240" w:lineRule="auto"/>
      </w:pPr>
      <w:r>
        <w:t>disease. These findings indicate that the specific</w:t>
      </w:r>
    </w:p>
    <w:p>
      <w:pPr>
        <w:spacing w:line="240" w:lineRule="auto"/>
      </w:pPr>
      <w:r>
        <w:t>antibody profiles of SARS-CoV-2 and SARS-CoV</w:t>
      </w:r>
    </w:p>
    <w:p>
      <w:pPr>
        <w:spacing w:line="240" w:lineRule="auto"/>
      </w:pPr>
      <w:r>
        <w:t>were similar (325). These findings can be utilized for</w:t>
      </w:r>
    </w:p>
    <w:p>
      <w:pPr>
        <w:spacing w:line="240" w:lineRule="auto"/>
      </w:pPr>
      <w:r>
        <w:t>the development of specific diagnostic tests against</w:t>
      </w:r>
    </w:p>
    <w:p>
      <w:pPr>
        <w:spacing w:line="240" w:lineRule="auto"/>
      </w:pPr>
      <w:r>
        <w:t>COVID-19 and can be used for rapid screening.</w:t>
      </w:r>
    </w:p>
    <w:p>
      <w:pPr>
        <w:spacing w:line="240" w:lineRule="auto"/>
      </w:pPr>
      <w:r>
        <w:t>Even though diagnostic test kits are already available</w:t>
      </w:r>
    </w:p>
    <w:p>
      <w:pPr>
        <w:spacing w:line="240" w:lineRule="auto"/>
      </w:pPr>
      <w:r>
        <w:t>that can detect the genetic sequences of SARS-CoV-</w:t>
      </w:r>
    </w:p>
    <w:p>
      <w:pPr>
        <w:spacing w:line="240" w:lineRule="auto"/>
      </w:pPr>
      <w:r>
        <w:t>2 (95), their availability is a concern, as the number</w:t>
      </w:r>
    </w:p>
    <w:p>
      <w:pPr>
        <w:spacing w:line="240" w:lineRule="auto"/>
      </w:pPr>
      <w:r>
        <w:t>of COVID-19 cases is skyrocketing (155, 157). A</w:t>
      </w:r>
    </w:p>
    <w:p>
      <w:pPr>
        <w:spacing w:line="240" w:lineRule="auto"/>
      </w:pPr>
      <w:r>
        <w:t>major problem associated with this diagnostic kit 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