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naving proven uses against oer viral pathogens Can</w:t>
      </w:r>
    </w:p>
    <w:p>
      <w:pPr>
        <w:spacing w:line="240" w:lineRule="auto"/>
      </w:pPr>
      <w:r>
        <w:t>be employed for SARS-CoV-2-infected patients.</w:t>
      </w:r>
    </w:p>
    <w:p>
      <w:pPr>
        <w:spacing w:line="240" w:lineRule="auto"/>
      </w:pPr>
      <w:r>
        <w:t>These possess benefits of easy accessibility and</w:t>
      </w:r>
    </w:p>
    <w:p>
      <w:pPr>
        <w:spacing w:line="240" w:lineRule="auto"/>
      </w:pPr>
      <w:r>
        <w:t>recognized pharmacokinetic and pharmacodynamic</w:t>
      </w:r>
    </w:p>
    <w:p>
      <w:pPr>
        <w:spacing w:line="240" w:lineRule="auto"/>
      </w:pPr>
      <w:r>
        <w:t>activities, stability, doses, and side effects (9).</w:t>
      </w:r>
    </w:p>
    <w:p>
      <w:pPr>
        <w:spacing w:line="240" w:lineRule="auto"/>
      </w:pPr>
      <w:r>
        <w:t>Repurposed drugs have been studied for treating</w:t>
      </w:r>
    </w:p>
    <w:p>
      <w:pPr>
        <w:spacing w:line="240" w:lineRule="auto"/>
      </w:pPr>
      <w:r>
        <w:t>CoV infections, like lopinavir/ritonavir, and</w:t>
      </w:r>
    </w:p>
    <w:p>
      <w:pPr>
        <w:spacing w:line="240" w:lineRule="auto"/>
      </w:pPr>
      <w:r>
        <w:t>interferon-1B revealed in vitro anti-MERS-CoV</w:t>
      </w:r>
    </w:p>
    <w:p>
      <w:pPr>
        <w:spacing w:line="240" w:lineRule="auto"/>
      </w:pPr>
      <w:r>
        <w:t>action. The in vivo experiment carried out in the</w:t>
      </w:r>
    </w:p>
    <w:p>
      <w:pPr>
        <w:spacing w:line="240" w:lineRule="auto"/>
      </w:pPr>
      <w:r>
        <w:t>nonhuman primate model of common marmosets</w:t>
      </w:r>
    </w:p>
    <w:p>
      <w:pPr>
        <w:spacing w:line="240" w:lineRule="auto"/>
      </w:pPr>
      <w:r>
        <w:t>treated with lopinavir/ritonavir and interferon beta</w:t>
      </w:r>
    </w:p>
    <w:p>
      <w:pPr>
        <w:spacing w:line="240" w:lineRule="auto"/>
      </w:pPr>
      <w:r>
        <w:t>showed superior protective results in treated animals</w:t>
      </w:r>
    </w:p>
    <w:p>
      <w:pPr>
        <w:spacing w:line="240" w:lineRule="auto"/>
      </w:pPr>
      <w:r>
        <w:t>than in the untreated ones (190). A combination of</w:t>
      </w:r>
    </w:p>
    <w:p>
      <w:pPr>
        <w:spacing w:line="240" w:lineRule="auto"/>
      </w:pPr>
      <w:r>
        <w:t>these drugs is being evaluated to treat MERS in</w:t>
      </w:r>
    </w:p>
    <w:p>
      <w:pPr>
        <w:spacing w:line="240" w:lineRule="auto"/>
      </w:pPr>
      <w:r>
        <w:t>humans (MIRACLE trial) (191). These two protease</w:t>
      </w:r>
    </w:p>
    <w:p>
      <w:pPr>
        <w:spacing w:line="240" w:lineRule="auto"/>
      </w:pPr>
      <w:r>
        <w:t>inhibitors (lopinavir and ritonavir), in combination</w:t>
      </w:r>
    </w:p>
    <w:p>
      <w:pPr>
        <w:spacing w:line="240" w:lineRule="auto"/>
      </w:pPr>
      <w:r>
        <w:t>with ribavirin, gave encouraging clinical outcomes in</w:t>
      </w:r>
    </w:p>
    <w:p>
      <w:pPr>
        <w:spacing w:line="240" w:lineRule="auto"/>
      </w:pPr>
      <w:r>
        <w:t>SARS patients, suggesting their therapeutic values</w:t>
      </w:r>
    </w:p>
    <w:p>
      <w:pPr>
        <w:spacing w:line="240" w:lineRule="auto"/>
      </w:pPr>
      <w:r>
        <w:t>(165). However, in the current scenario, due to the</w:t>
      </w:r>
    </w:p>
    <w:p>
      <w:pPr>
        <w:spacing w:line="240" w:lineRule="auto"/>
      </w:pPr>
      <w:r>
        <w:t>lack of specific therapeutic agents against SARS-</w:t>
      </w:r>
    </w:p>
    <w:p>
      <w:pPr>
        <w:spacing w:line="240" w:lineRule="auto"/>
      </w:pPr>
      <w:r>
        <w:t>CoV-2, hospitalized patients confirmed for the</w:t>
      </w:r>
    </w:p>
    <w:p>
      <w:pPr>
        <w:spacing w:line="240" w:lineRule="auto"/>
      </w:pPr>
      <w:r>
        <w:t>disease are given supportive care, like oxygen and</w:t>
      </w:r>
    </w:p>
    <w:p>
      <w:pPr>
        <w:spacing w:line="240" w:lineRule="auto"/>
      </w:pPr>
      <w:r>
        <w:t>fluid therapy, along with antibiotic therapy for</w:t>
      </w:r>
    </w:p>
    <w:p>
      <w:pPr>
        <w:spacing w:line="240" w:lineRule="auto"/>
      </w:pPr>
      <w:r>
        <w:t>managing secondary bacterial infections (192).</w:t>
      </w:r>
    </w:p>
    <w:p>
      <w:pPr>
        <w:spacing w:line="240" w:lineRule="auto"/>
      </w:pPr>
      <w:r>
        <w:t>Patients with novel coronavirus or COVID-19</w:t>
      </w:r>
    </w:p>
    <w:p>
      <w:pPr>
        <w:spacing w:line="240" w:lineRule="auto"/>
      </w:pPr>
      <w:r>
        <w:t>pneumonia who are mechanically ventilated often</w:t>
      </w:r>
    </w:p>
    <w:p>
      <w:pPr>
        <w:spacing w:line="240" w:lineRule="auto"/>
      </w:pPr>
      <w:r>
        <w:t>; ‘ati 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