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new targeted drugs, and prevention of further</w:t>
      </w:r>
    </w:p>
    <w:p>
      <w:pPr>
        <w:spacing w:line="240" w:lineRule="auto"/>
      </w:pPr>
      <w:r>
        <w:t>epidemics (13). The most common symptoms</w:t>
      </w:r>
    </w:p>
    <w:p>
      <w:pPr>
        <w:spacing w:line="240" w:lineRule="auto"/>
      </w:pPr>
      <w:r>
        <w:t>associated with COVID-19 are fever, cough,</w:t>
      </w:r>
    </w:p>
    <w:p>
      <w:pPr>
        <w:spacing w:line="240" w:lineRule="auto"/>
      </w:pPr>
      <w:r>
        <w:t>dyspnea, expectoration, headache, and myalgia or</w:t>
      </w:r>
    </w:p>
    <w:p>
      <w:pPr>
        <w:spacing w:line="240" w:lineRule="auto"/>
      </w:pPr>
      <w:r>
        <w:t>fatigue.</w:t>
      </w:r>
    </w:p>
    <w:p>
      <w:pPr>
        <w:spacing w:line="240" w:lineRule="auto"/>
      </w:pPr>
      <w:r>
        <w:t>In contrast, less common signs at the time of</w:t>
      </w:r>
    </w:p>
    <w:p>
      <w:pPr>
        <w:spacing w:line="240" w:lineRule="auto"/>
      </w:pPr>
      <w:r>
        <w:t>hospital admission include diarrhea, hemoptysis, and</w:t>
      </w:r>
    </w:p>
    <w:p>
      <w:pPr>
        <w:spacing w:line="240" w:lineRule="auto"/>
      </w:pPr>
      <w:r>
        <w:t>shortness of breath (14). Recently, individuals with</w:t>
      </w:r>
    </w:p>
    <w:p>
      <w:pPr>
        <w:spacing w:line="240" w:lineRule="auto"/>
      </w:pPr>
      <w:r>
        <w:t>asymptomatic infections were also suspected of</w:t>
      </w:r>
    </w:p>
    <w:p>
      <w:pPr>
        <w:spacing w:line="240" w:lineRule="auto"/>
      </w:pPr>
      <w:r>
        <w:t>transmitting infections, which further adds to the</w:t>
      </w:r>
    </w:p>
    <w:p>
      <w:pPr>
        <w:spacing w:line="240" w:lineRule="auto"/>
      </w:pPr>
      <w:r>
        <w:t>complexity of disease transmission dynamics in</w:t>
      </w:r>
    </w:p>
    <w:p>
      <w:pPr>
        <w:spacing w:line="240" w:lineRule="auto"/>
      </w:pPr>
      <w:r>
        <w:t>COVID-19 infections (1). Such efficient responses</w:t>
      </w:r>
    </w:p>
    <w:p>
      <w:pPr>
        <w:spacing w:line="240" w:lineRule="auto"/>
      </w:pPr>
      <w:r>
        <w:t>require in-depth knowledge regarding the virus,</w:t>
      </w:r>
    </w:p>
    <w:p>
      <w:pPr>
        <w:spacing w:line="240" w:lineRule="auto"/>
      </w:pPr>
      <w:r>
        <w:t>which currently is a novel agent; consequently,</w:t>
      </w:r>
    </w:p>
    <w:p>
      <w:pPr>
        <w:spacing w:line="240" w:lineRule="auto"/>
      </w:pPr>
      <w:r>
        <w:t>further studies are required.</w:t>
      </w:r>
    </w:p>
    <w:p>
      <w:pPr>
        <w:spacing w:line="240" w:lineRule="auto"/>
      </w:pPr>
      <w:r>
        <w:t>Comparing the genome of SARS-CoV-2 with that</w:t>
      </w:r>
    </w:p>
    <w:p>
      <w:pPr>
        <w:spacing w:line="240" w:lineRule="auto"/>
      </w:pPr>
      <w:r>
        <w:t>of the closely related SARS/SARS-like CoV</w:t>
      </w:r>
    </w:p>
    <w:p>
      <w:pPr>
        <w:spacing w:line="240" w:lineRule="auto"/>
      </w:pPr>
      <w:r>
        <w:t>revealed that the sequence coding for the spike</w:t>
      </w:r>
    </w:p>
    <w:p>
      <w:pPr>
        <w:spacing w:line="240" w:lineRule="auto"/>
      </w:pPr>
      <w:r>
        <w:t>protein, with a total length of 1,273 amino acids,</w:t>
      </w:r>
    </w:p>
    <w:p>
      <w:pPr>
        <w:spacing w:line="240" w:lineRule="auto"/>
      </w:pPr>
      <w:r>
        <w:t>showed 27 amino acid substitutions. Six of these</w:t>
      </w:r>
    </w:p>
    <w:p>
      <w:pPr>
        <w:spacing w:line="240" w:lineRule="auto"/>
      </w:pPr>
      <w:r>
        <w:t>substitutions are in the region of the receptor-binding</w:t>
      </w:r>
    </w:p>
    <w:p>
      <w:pPr>
        <w:spacing w:line="240" w:lineRule="auto"/>
      </w:pPr>
      <w:r>
        <w:t>domain (RBD), and another six substitutions are in</w:t>
      </w:r>
    </w:p>
    <w:p>
      <w:pPr>
        <w:spacing w:line="240" w:lineRule="auto"/>
      </w:pPr>
      <w:r>
        <w:t>the underpinning subdomain (SD) (16). Phylogenetic</w:t>
      </w:r>
    </w:p>
    <w:p>
      <w:pPr>
        <w:spacing w:line="240" w:lineRule="auto"/>
      </w:pPr>
      <w:r>
        <w:t>analyses have revealed that SARS-CoV-2 is closely</w:t>
      </w:r>
    </w:p>
    <w:p>
      <w:pPr>
        <w:spacing w:line="240" w:lineRule="auto"/>
      </w:pPr>
      <w:r>
        <w:t>related (88% similarity) to two SARS-like CoVs</w:t>
      </w:r>
    </w:p>
    <w:p>
      <w:pPr>
        <w:spacing w:line="240" w:lineRule="auto"/>
      </w:pPr>
      <w:r>
        <w:t>derived from bat SARS-like CoVs_ (bat-SL-</w:t>
      </w:r>
    </w:p>
    <w:p>
      <w:pPr>
        <w:spacing w:line="240" w:lineRule="auto"/>
      </w:pPr>
      <w:r>
        <w:t>“OVZCAS 1 hat-SL-CoVZXC2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