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results of the clinical trial showed that the</w:t>
      </w:r>
    </w:p>
    <w:p>
      <w:pPr>
        <w:spacing w:line="240" w:lineRule="auto"/>
      </w:pPr>
      <w:r>
        <w:t>patients who were given chloroquine had a</w:t>
      </w:r>
    </w:p>
    <w:p>
      <w:pPr>
        <w:spacing w:line="240" w:lineRule="auto"/>
      </w:pPr>
      <w:r>
        <w:t>significant reduction in their body temperature.</w:t>
      </w:r>
    </w:p>
    <w:p>
      <w:pPr>
        <w:spacing w:line="240" w:lineRule="auto"/>
      </w:pPr>
      <w:r>
        <w:t>The clinical trial also showed better recovery</w:t>
      </w:r>
    </w:p>
    <w:p>
      <w:pPr>
        <w:spacing w:line="240" w:lineRule="auto"/>
      </w:pPr>
      <w:r>
        <w:t>among the patients who were given</w:t>
      </w:r>
    </w:p>
    <w:p>
      <w:pPr>
        <w:spacing w:line="240" w:lineRule="auto"/>
      </w:pPr>
      <w:r>
        <w:t>chloroquine and hydroxy chloroquine.°*°</w:t>
      </w:r>
    </w:p>
    <w:p>
      <w:pPr>
        <w:spacing w:line="240" w:lineRule="auto"/>
      </w:pPr>
      <w:r>
        <w:t>Hydroxychloroquine treatment is significantly</w:t>
      </w:r>
    </w:p>
    <w:p>
      <w:pPr>
        <w:spacing w:line="240" w:lineRule="auto"/>
      </w:pPr>
      <w:r>
        <w:t>associated with viral load reduction as well as</w:t>
      </w:r>
    </w:p>
    <w:p>
      <w:pPr>
        <w:spacing w:line="240" w:lineRule="auto"/>
      </w:pPr>
      <w:r>
        <w:t>disappearance in COVID-19 patients. Further,</w:t>
      </w:r>
    </w:p>
    <w:p>
      <w:pPr>
        <w:spacing w:line="240" w:lineRule="auto"/>
      </w:pPr>
      <w:r>
        <w:t>the outcome is reinforced by azithromycin. The</w:t>
      </w:r>
    </w:p>
    <w:p>
      <w:pPr>
        <w:spacing w:line="240" w:lineRule="auto"/>
      </w:pPr>
      <w:r>
        <w:t>role of lopinavir and ritonavir in the treatment</w:t>
      </w:r>
    </w:p>
    <w:p>
      <w:pPr>
        <w:spacing w:line="240" w:lineRule="auto"/>
      </w:pPr>
      <w:r>
        <w:t>of COVID-19 is uncertain. A potential benefit</w:t>
      </w:r>
    </w:p>
    <w:p>
      <w:pPr>
        <w:spacing w:line="240" w:lineRule="auto"/>
      </w:pPr>
      <w:r>
        <w:t>was suggested by preclinical data, but</w:t>
      </w:r>
    </w:p>
    <w:p>
      <w:pPr>
        <w:spacing w:line="240" w:lineRule="auto"/>
      </w:pPr>
      <w:r>
        <w:t>additional data has failed to confirm it.</w:t>
      </w:r>
    </w:p>
    <w:p>
      <w:pPr>
        <w:spacing w:line="240" w:lineRule="auto"/>
      </w:pPr>
      <w:r>
        <w:t>Tocilizumab is an immunomodulating agent</w:t>
      </w:r>
    </w:p>
    <w:p>
      <w:pPr>
        <w:spacing w:line="240" w:lineRule="auto"/>
      </w:pPr>
      <w:r>
        <w:t>used as adjunct therapy in some protocols</w:t>
      </w:r>
    </w:p>
    <w:p>
      <w:pPr>
        <w:spacing w:line="240" w:lineRule="auto"/>
      </w:pPr>
      <w:r>
        <w:t>based on a theoretical mechanism and limited</w:t>
      </w:r>
    </w:p>
    <w:p>
      <w:pPr>
        <w:spacing w:line="240" w:lineRule="auto"/>
      </w:pPr>
      <w:r>
        <w:t>preliminary data.°°</w:t>
      </w:r>
    </w:p>
    <w:p>
      <w:pPr>
        <w:spacing w:line="240" w:lineRule="auto"/>
      </w:pPr>
      <w:r>
        <w:t>15 HOME CARE</w:t>
      </w:r>
    </w:p>
    <w:p>
      <w:pPr>
        <w:spacing w:line="240" w:lineRule="auto"/>
      </w:pPr>
      <w:r>
        <w:t>Home management may be appropriate for</w:t>
      </w:r>
    </w:p>
    <w:p>
      <w:pPr>
        <w:spacing w:line="240" w:lineRule="auto"/>
      </w:pPr>
      <w:r>
        <w:t>patients with mild infection who can be</w:t>
      </w:r>
    </w:p>
    <w:p>
      <w:pPr>
        <w:spacing w:line="240" w:lineRule="auto"/>
      </w:pPr>
      <w:r>
        <w:t>adequately isolated in the outpatient setting.</w:t>
      </w:r>
    </w:p>
    <w:p>
      <w:pPr>
        <w:spacing w:line="240" w:lineRule="auto"/>
      </w:pPr>
      <w:r>
        <w:t>Management of such patients should focus on</w:t>
      </w:r>
    </w:p>
    <w:p>
      <w:pPr>
        <w:spacing w:line="240" w:lineRule="auto"/>
      </w:pPr>
      <w:r>
        <w:t>prevention of transmission to others, and</w:t>
      </w:r>
    </w:p>
    <w:p>
      <w:pPr>
        <w:spacing w:line="240" w:lineRule="auto"/>
      </w:pPr>
      <w:r>
        <w:t>monitoring for clinical deterioration, which</w:t>
      </w:r>
    </w:p>
    <w:p>
      <w:pPr>
        <w:spacing w:line="240" w:lineRule="auto"/>
      </w:pPr>
      <w:r>
        <w:t>should prompt hospitalisation. Interim</w:t>
      </w:r>
    </w:p>
    <w:p>
      <w:pPr>
        <w:spacing w:line="240" w:lineRule="auto"/>
      </w:pPr>
      <w:r>
        <w:t>recommendations on home management of</w:t>
      </w:r>
    </w:p>
    <w:p>
      <w:pPr>
        <w:spacing w:line="240" w:lineRule="auto"/>
      </w:pPr>
      <w:r>
        <w:t>patients with COVID-19 can be found 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