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240" w:lineRule="auto"/>
      </w:pPr>
      <w:r>
        <w:t>There is no currently licensed specific antiviral</w:t>
      </w:r>
    </w:p>
    <w:p>
      <w:pPr>
        <w:spacing w:line="240" w:lineRule="auto"/>
      </w:pPr>
      <w:r>
        <w:t>treatment for MERS- and SARS-CoV infections, and</w:t>
      </w:r>
    </w:p>
    <w:p>
      <w:pPr>
        <w:spacing w:line="240" w:lineRule="auto"/>
      </w:pPr>
      <w:r>
        <w:t>the main focus in clinical settings remains on</w:t>
      </w:r>
    </w:p>
    <w:p>
      <w:pPr>
        <w:spacing w:line="240" w:lineRule="auto"/>
      </w:pPr>
      <w:r>
        <w:t>lessening clinical signs and providing supportive</w:t>
      </w:r>
    </w:p>
    <w:p>
      <w:pPr>
        <w:spacing w:line="240" w:lineRule="auto"/>
      </w:pPr>
      <w:r>
        <w:t>care (183-186). Effective drugs to manage COVID-</w:t>
      </w:r>
    </w:p>
    <w:p>
      <w:pPr>
        <w:spacing w:line="240" w:lineRule="auto"/>
      </w:pPr>
      <w:r>
        <w:t>19 patients include remdesivir, lopinavir/ritonavir</w:t>
      </w:r>
    </w:p>
    <w:p>
      <w:pPr>
        <w:spacing w:line="240" w:lineRule="auto"/>
      </w:pPr>
      <w:r>
        <w:t>alone or in a blend with interferon beta, convalescent</w:t>
      </w:r>
    </w:p>
    <w:p>
      <w:pPr>
        <w:spacing w:line="240" w:lineRule="auto"/>
      </w:pPr>
      <w:r>
        <w:t>plasma, and monoclonal antibodies (MAbs);</w:t>
      </w:r>
    </w:p>
    <w:p>
      <w:pPr>
        <w:spacing w:line="240" w:lineRule="auto"/>
      </w:pPr>
      <w:r>
        <w:t>however, efficacy and safety issues of these drugs</w:t>
      </w:r>
    </w:p>
    <w:p>
      <w:pPr>
        <w:spacing w:line="240" w:lineRule="auto"/>
      </w:pPr>
      <w:r>
        <w:t>require additional clinical trials (187, 281). A</w:t>
      </w:r>
    </w:p>
    <w:p>
      <w:pPr>
        <w:spacing w:line="240" w:lineRule="auto"/>
      </w:pPr>
      <w:r>
        <w:t>controlled trial of ritonavir-boosted lopinavir and</w:t>
      </w:r>
    </w:p>
    <w:p>
      <w:pPr>
        <w:spacing w:line="240" w:lineRule="auto"/>
      </w:pPr>
      <w:r>
        <w:t>interferon alpha 2b treatment was performed on</w:t>
      </w:r>
    </w:p>
    <w:p>
      <w:pPr>
        <w:spacing w:line="240" w:lineRule="auto"/>
      </w:pPr>
      <w:r>
        <w:t>COVID-19 hospitalized patients</w:t>
      </w:r>
    </w:p>
    <w:p>
      <w:pPr>
        <w:spacing w:line="240" w:lineRule="auto"/>
      </w:pPr>
      <w:r>
        <w:t>(ChiCTR2000029308) (188). In addition, the use of</w:t>
      </w:r>
    </w:p>
    <w:p>
      <w:pPr>
        <w:spacing w:line="240" w:lineRule="auto"/>
      </w:pPr>
      <w:r>
        <w:t>hydroxychloroquine and _ tocilizumab for their</w:t>
      </w:r>
    </w:p>
    <w:p>
      <w:pPr>
        <w:spacing w:line="240" w:lineRule="auto"/>
      </w:pPr>
      <w:r>
        <w:t>potential role in modulating inflammatory responses</w:t>
      </w:r>
    </w:p>
    <w:p>
      <w:pPr>
        <w:spacing w:line="240" w:lineRule="auto"/>
      </w:pPr>
      <w:r>
        <w:t>in the lungs and antiviral effect has been proposed</w:t>
      </w:r>
    </w:p>
    <w:p>
      <w:pPr>
        <w:spacing w:line="240" w:lineRule="auto"/>
      </w:pPr>
      <w:r>
        <w:t>and discussed in many research articles. Still, no</w:t>
      </w:r>
    </w:p>
    <w:p>
      <w:pPr>
        <w:spacing w:line="240" w:lineRule="auto"/>
      </w:pPr>
      <w:r>
        <w:t>fool-proof clinical trials have been published (194,</w:t>
      </w:r>
    </w:p>
    <w:p>
      <w:pPr>
        <w:spacing w:line="240" w:lineRule="auto"/>
      </w:pPr>
      <w:r>
        <w:t>196, 197, 261-272). Recently, a clinical trial</w:t>
      </w:r>
    </w:p>
    <w:p>
      <w:pPr>
        <w:spacing w:line="240" w:lineRule="auto"/>
      </w:pPr>
      <w:r>
        <w:t>conducted on adult patients suffering from severe</w:t>
      </w:r>
    </w:p>
    <w:p>
      <w:pPr>
        <w:spacing w:line="240" w:lineRule="auto"/>
      </w:pPr>
      <w:r>
        <w:t>COVID-19 revealed no benefit of lopinavir-ritonavir</w:t>
      </w:r>
    </w:p>
    <w:p>
      <w:pPr>
        <w:spacing w:line="240" w:lineRule="auto"/>
      </w:pPr>
      <w:r>
        <w:t>treatment over standard care (273).</w:t>
      </w:r>
    </w:p>
    <w:p>
      <w:pPr>
        <w:spacing w:line="240" w:lineRule="auto"/>
      </w:pPr>
      <w:r>
        <w:t>The efforts to control SARS-CoV-2 infection</w:t>
      </w:r>
    </w:p>
    <w:p>
      <w:pPr>
        <w:spacing w:line="240" w:lineRule="auto"/>
      </w:pPr>
      <w:r>
        <w:t>utilize defined strategies as followed against MERS</w:t>
      </w:r>
    </w:p>
    <w:p>
      <w:pPr>
        <w:spacing w:line="240" w:lineRule="auto"/>
      </w:pPr>
      <w:r>
        <w:t>and SARS, along with adopting and strengthening 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