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07:27 Owe 7 4u</w:t>
      </w:r>
    </w:p>
    <w:p>
      <w:pPr>
        <w:spacing w:line="240" w:lineRule="auto"/>
      </w:pPr>
      <w:r>
        <w:t>infections clinically or through routine</w:t>
      </w:r>
    </w:p>
    <w:p>
      <w:pPr>
        <w:spacing w:line="240" w:lineRule="auto"/>
      </w:pPr>
      <w:r>
        <w:t>lab tests. Therefore travel history</w:t>
      </w:r>
    </w:p>
    <w:p>
      <w:pPr>
        <w:spacing w:line="240" w:lineRule="auto"/>
      </w:pPr>
      <w:r>
        <w:t>becomes important. However, as the</w:t>
      </w:r>
    </w:p>
    <w:p>
      <w:pPr>
        <w:spacing w:line="240" w:lineRule="auto"/>
      </w:pPr>
      <w:r>
        <w:t>epidemic spreads, the travel history</w:t>
      </w:r>
    </w:p>
    <w:p>
      <w:pPr>
        <w:spacing w:line="240" w:lineRule="auto"/>
      </w:pPr>
      <w:r>
        <w:t>will become irrelevant.</w:t>
      </w:r>
    </w:p>
    <w:p>
      <w:pPr>
        <w:spacing w:line="240" w:lineRule="auto"/>
      </w:pPr>
      <w:r>
        <w:t>Treatment [21, 23]</w:t>
      </w:r>
    </w:p>
    <w:p>
      <w:pPr>
        <w:spacing w:line="240" w:lineRule="auto"/>
      </w:pPr>
      <w:r>
        <w:t>Treatment is essentially supportive and</w:t>
      </w:r>
    </w:p>
    <w:p>
      <w:pPr>
        <w:spacing w:line="240" w:lineRule="auto"/>
      </w:pPr>
      <w:r>
        <w:t>symptomatic.</w:t>
      </w:r>
    </w:p>
    <w:p>
      <w:pPr>
        <w:spacing w:line="240" w:lineRule="auto"/>
      </w:pPr>
      <w:r>
        <w:t>The first step is to ensure adequate</w:t>
      </w:r>
    </w:p>
    <w:p>
      <w:pPr>
        <w:spacing w:line="240" w:lineRule="auto"/>
      </w:pPr>
      <w:r>
        <w:t>isolation (discussed later) to prevent</w:t>
      </w:r>
    </w:p>
    <w:p>
      <w:pPr>
        <w:spacing w:line="240" w:lineRule="auto"/>
      </w:pPr>
      <w:r>
        <w:t>transmission to other contacts, patients</w:t>
      </w:r>
    </w:p>
    <w:p>
      <w:pPr>
        <w:spacing w:line="240" w:lineRule="auto"/>
      </w:pPr>
      <w:r>
        <w:t>and healthcare workers. Mild illness</w:t>
      </w:r>
    </w:p>
    <w:p>
      <w:pPr>
        <w:spacing w:line="240" w:lineRule="auto"/>
      </w:pPr>
      <w:r>
        <w:t>should be managed at home with</w:t>
      </w:r>
    </w:p>
    <w:p>
      <w:pPr>
        <w:spacing w:line="240" w:lineRule="auto"/>
      </w:pPr>
      <w:r>
        <w:t>counseling about danger signs. The</w:t>
      </w:r>
    </w:p>
    <w:p>
      <w:pPr>
        <w:spacing w:line="240" w:lineRule="auto"/>
      </w:pPr>
      <w:r>
        <w:t>usual principles are maintaining</w:t>
      </w:r>
    </w:p>
    <w:p>
      <w:pPr>
        <w:spacing w:line="240" w:lineRule="auto"/>
      </w:pPr>
      <w:r>
        <w:t>hydration and nutrition and</w:t>
      </w:r>
    </w:p>
    <w:p>
      <w:pPr>
        <w:spacing w:line="240" w:lineRule="auto"/>
      </w:pPr>
      <w:r>
        <w:t>controlling fever and cough. Routine</w:t>
      </w:r>
    </w:p>
    <w:p>
      <w:pPr>
        <w:spacing w:line="240" w:lineRule="auto"/>
      </w:pPr>
      <w:r>
        <w:t>use of antibiotics and antivirals such as</w:t>
      </w:r>
    </w:p>
    <w:p>
      <w:pPr>
        <w:spacing w:line="240" w:lineRule="auto"/>
      </w:pPr>
      <w:r>
        <w:t>oseltamivir should be avoided in</w:t>
      </w:r>
    </w:p>
    <w:p>
      <w:pPr>
        <w:spacing w:line="240" w:lineRule="auto"/>
      </w:pPr>
      <w:r>
        <w:t>confirmed cases. In hypoxic patients,</w:t>
      </w:r>
    </w:p>
    <w:p>
      <w:pPr>
        <w:spacing w:line="240" w:lineRule="auto"/>
      </w:pPr>
      <w:r>
        <w:t>provision of oxygen through nasal</w:t>
      </w:r>
    </w:p>
    <w:p>
      <w:pPr>
        <w:spacing w:line="240" w:lineRule="auto"/>
      </w:pPr>
      <w:r>
        <w:t>prongs, face mask, high flow nasal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