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respiratory infection (SARI) and respiratory</w:t>
      </w:r>
    </w:p>
    <w:p>
      <w:pPr>
        <w:spacing w:line="240" w:lineRule="auto"/>
      </w:pPr>
      <w:r>
        <w:t>distress, shock or hypoxaemia. Patients with</w:t>
      </w:r>
    </w:p>
    <w:p>
      <w:pPr>
        <w:spacing w:line="240" w:lineRule="auto"/>
      </w:pPr>
      <w:r>
        <w:t>SARI can be given conservative fluid therapy</w:t>
      </w:r>
    </w:p>
    <w:p>
      <w:pPr>
        <w:spacing w:line="240" w:lineRule="auto"/>
      </w:pPr>
      <w:r>
        <w:t>only when there is no evidence of shock.</w:t>
      </w:r>
    </w:p>
    <w:p>
      <w:pPr>
        <w:spacing w:line="240" w:lineRule="auto"/>
      </w:pPr>
      <w:r>
        <w:t>Empiric antimicrobial therapy must be started</w:t>
      </w:r>
    </w:p>
    <w:p>
      <w:pPr>
        <w:spacing w:line="240" w:lineRule="auto"/>
      </w:pPr>
      <w:r>
        <w:t>to manage SARI. For patients with sepsis,</w:t>
      </w:r>
    </w:p>
    <w:p>
      <w:pPr>
        <w:spacing w:line="240" w:lineRule="auto"/>
      </w:pPr>
      <w:r>
        <w:t>antimicrobials must be administered within 1</w:t>
      </w:r>
    </w:p>
    <w:p>
      <w:pPr>
        <w:spacing w:line="240" w:lineRule="auto"/>
      </w:pPr>
      <w:r>
        <w:t>hour of initial assessments. The WHO and CDC</w:t>
      </w:r>
    </w:p>
    <w:p>
      <w:pPr>
        <w:spacing w:line="240" w:lineRule="auto"/>
      </w:pPr>
      <w:r>
        <w:t>recommend that glucocorticoids not be used in</w:t>
      </w:r>
    </w:p>
    <w:p>
      <w:pPr>
        <w:spacing w:line="240" w:lineRule="auto"/>
      </w:pPr>
      <w:r>
        <w:t>patients with COVID-19 pneumonia except</w:t>
      </w:r>
    </w:p>
    <w:p>
      <w:pPr>
        <w:spacing w:line="240" w:lineRule="auto"/>
      </w:pPr>
      <w:r>
        <w:t>where there are other indications (exacerbation</w:t>
      </w:r>
    </w:p>
    <w:p>
      <w:pPr>
        <w:spacing w:line="240" w:lineRule="auto"/>
      </w:pPr>
      <w:r>
        <w:t>of chronic obstructive pulmonary disease).°?</w:t>
      </w:r>
    </w:p>
    <w:p>
      <w:pPr>
        <w:spacing w:line="240" w:lineRule="auto"/>
      </w:pPr>
      <w:r>
        <w:t>Patients’ clinical deterioration is closely</w:t>
      </w:r>
    </w:p>
    <w:p>
      <w:pPr>
        <w:spacing w:line="240" w:lineRule="auto"/>
      </w:pPr>
      <w:r>
        <w:t>observed with SARI; however, rapidly</w:t>
      </w:r>
    </w:p>
    <w:p>
      <w:pPr>
        <w:spacing w:line="240" w:lineRule="auto"/>
      </w:pPr>
      <w:r>
        <w:t>progressive respiratory failure and sepsis</w:t>
      </w:r>
    </w:p>
    <w:p>
      <w:pPr>
        <w:spacing w:line="240" w:lineRule="auto"/>
      </w:pPr>
      <w:r>
        <w:t>require immediate supportive care</w:t>
      </w:r>
    </w:p>
    <w:p>
      <w:pPr>
        <w:spacing w:line="240" w:lineRule="auto"/>
      </w:pPr>
      <w:r>
        <w:t>interventions comprising quick use of</w:t>
      </w:r>
    </w:p>
    <w:p>
      <w:pPr>
        <w:spacing w:line="240" w:lineRule="auto"/>
      </w:pPr>
      <w:r>
        <w:t>neuromuscular blockade and sedatives,</w:t>
      </w:r>
    </w:p>
    <w:p>
      <w:pPr>
        <w:spacing w:line="240" w:lineRule="auto"/>
      </w:pPr>
      <w:r>
        <w:t>hemodynamic management, nutritional</w:t>
      </w:r>
    </w:p>
    <w:p>
      <w:pPr>
        <w:spacing w:line="240" w:lineRule="auto"/>
      </w:pPr>
      <w:r>
        <w:t>support, maintenance of blood glucose levels,</w:t>
      </w:r>
    </w:p>
    <w:p>
      <w:pPr>
        <w:spacing w:line="240" w:lineRule="auto"/>
      </w:pPr>
      <w:r>
        <w:t>prompt assessment and treatment of</w:t>
      </w:r>
    </w:p>
    <w:p>
      <w:pPr>
        <w:spacing w:line="240" w:lineRule="auto"/>
      </w:pPr>
      <w:r>
        <w:t>nosocomial pneumonia, and prophylaxis</w:t>
      </w:r>
    </w:p>
    <w:p>
      <w:pPr>
        <w:spacing w:line="240" w:lineRule="auto"/>
      </w:pPr>
      <w:r>
        <w:t>against deep venous thrombosis (DVT) and</w:t>
      </w:r>
    </w:p>
    <w:p>
      <w:pPr>
        <w:spacing w:line="240" w:lineRule="auto"/>
      </w:pPr>
      <w:r>
        <w:t>gastrointestinal (GI) bleeding.®° Generally, such</w:t>
      </w:r>
    </w:p>
    <w:p>
      <w:pPr>
        <w:spacing w:line="240" w:lineRule="auto"/>
      </w:pPr>
      <w:r>
        <w:t>patients give way to their primary illness to</w:t>
      </w:r>
    </w:p>
    <w:p>
      <w:pPr>
        <w:spacing w:line="240" w:lineRule="auto"/>
      </w:pPr>
      <w:r>
        <w:t>secondary complications like sepsis or</w:t>
      </w:r>
    </w:p>
    <w:p>
      <w:pPr>
        <w:spacing w:line="240" w:lineRule="auto"/>
      </w:pPr>
      <w:r>
        <w:t>multiorgan system failure.*°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