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07:5 Owe baie |</w:t>
      </w:r>
    </w:p>
    <w:p>
      <w:pPr>
        <w:spacing w:line="240" w:lineRule="auto"/>
      </w:pPr>
      <w:r>
        <w:t>of persistent local transmission or</w:t>
      </w:r>
    </w:p>
    <w:p>
      <w:pPr>
        <w:spacing w:line="240" w:lineRule="auto"/>
      </w:pPr>
      <w:r>
        <w:t>contact with patients with similar</w:t>
      </w:r>
    </w:p>
    <w:p>
      <w:pPr>
        <w:spacing w:line="240" w:lineRule="auto"/>
      </w:pPr>
      <w:r>
        <w:t>travel history or those with confirmed</w:t>
      </w:r>
    </w:p>
    <w:p>
      <w:pPr>
        <w:spacing w:line="240" w:lineRule="auto"/>
      </w:pPr>
      <w:r>
        <w:t>COVID-19 infection. However cases</w:t>
      </w:r>
    </w:p>
    <w:p>
      <w:pPr>
        <w:spacing w:line="240" w:lineRule="auto"/>
      </w:pPr>
      <w:r>
        <w:t>may be asymptomatic or even without</w:t>
      </w:r>
    </w:p>
    <w:p>
      <w:pPr>
        <w:spacing w:line="240" w:lineRule="auto"/>
      </w:pPr>
      <w:r>
        <w:t>fever. A confirmed case is a suspect</w:t>
      </w:r>
    </w:p>
    <w:p>
      <w:pPr>
        <w:spacing w:line="240" w:lineRule="auto"/>
      </w:pPr>
      <w:r>
        <w:t>case with a positive molecular test.</w:t>
      </w:r>
    </w:p>
    <w:p>
      <w:pPr>
        <w:spacing w:line="240" w:lineRule="auto"/>
      </w:pPr>
      <w:r>
        <w:t>Specific diagnosis is by specific</w:t>
      </w:r>
    </w:p>
    <w:p>
      <w:pPr>
        <w:spacing w:line="240" w:lineRule="auto"/>
      </w:pPr>
      <w:r>
        <w:t>molecular tests on respiratory samples</w:t>
      </w:r>
    </w:p>
    <w:p>
      <w:pPr>
        <w:spacing w:line="240" w:lineRule="auto"/>
      </w:pPr>
      <w:r>
        <w:t>(throat swab/ nasopharyngeal swab/</w:t>
      </w:r>
    </w:p>
    <w:p>
      <w:pPr>
        <w:spacing w:line="240" w:lineRule="auto"/>
      </w:pPr>
      <w:r>
        <w:t>sputum/ endotracheal aspirates and</w:t>
      </w:r>
    </w:p>
    <w:p>
      <w:pPr>
        <w:spacing w:line="240" w:lineRule="auto"/>
      </w:pPr>
      <w:r>
        <w:t>bronchoalveolar lavage). Virus may</w:t>
      </w:r>
    </w:p>
    <w:p>
      <w:pPr>
        <w:spacing w:line="240" w:lineRule="auto"/>
      </w:pPr>
      <w:r>
        <w:t>also be detected in the stool and in</w:t>
      </w:r>
    </w:p>
    <w:p>
      <w:pPr>
        <w:spacing w:line="240" w:lineRule="auto"/>
      </w:pPr>
      <w:r>
        <w:t>severe cases, the blood. It must be</w:t>
      </w:r>
    </w:p>
    <w:p>
      <w:pPr>
        <w:spacing w:line="240" w:lineRule="auto"/>
      </w:pPr>
      <w:r>
        <w:t>remembered that the multiplex PCR</w:t>
      </w:r>
    </w:p>
    <w:p>
      <w:pPr>
        <w:spacing w:line="240" w:lineRule="auto"/>
      </w:pPr>
      <w:r>
        <w:t>panels currently available do not</w:t>
      </w:r>
    </w:p>
    <w:p>
      <w:pPr>
        <w:spacing w:line="240" w:lineRule="auto"/>
      </w:pPr>
      <w:r>
        <w:t>include the COVID-19. Commercial tests</w:t>
      </w:r>
    </w:p>
    <w:p>
      <w:pPr>
        <w:spacing w:line="240" w:lineRule="auto"/>
      </w:pPr>
      <w:r>
        <w:t>are also not available at present. Ina</w:t>
      </w:r>
    </w:p>
    <w:p>
      <w:pPr>
        <w:spacing w:line="240" w:lineRule="auto"/>
      </w:pPr>
      <w:r>
        <w:t>suspect case in India, the appropriate</w:t>
      </w:r>
    </w:p>
    <w:p>
      <w:pPr>
        <w:spacing w:line="240" w:lineRule="auto"/>
      </w:pPr>
      <w:r>
        <w:t>sample has to be sent to designated</w:t>
      </w:r>
    </w:p>
    <w:p>
      <w:pPr>
        <w:spacing w:line="240" w:lineRule="auto"/>
      </w:pPr>
      <w:r>
        <w:t>reference labs in India or the National</w:t>
      </w:r>
    </w:p>
    <w:p>
      <w:pPr>
        <w:spacing w:line="240" w:lineRule="auto"/>
      </w:pPr>
      <w:r>
        <w:t>Institute of Virology in Pune. As the</w:t>
      </w:r>
    </w:p>
    <w:p>
      <w:pPr>
        <w:spacing w:line="240" w:lineRule="auto"/>
      </w:pPr>
      <w:r>
        <w:t>epidemic progresses, commercial 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