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polymorphism at nucleotide position 28,144, which</w:t>
      </w:r>
    </w:p>
    <w:p>
      <w:pPr>
        <w:spacing w:line="240" w:lineRule="auto"/>
      </w:pPr>
      <w:r>
        <w:t>results in amino acid substitution of Ser for Lys at residue</w:t>
      </w:r>
    </w:p>
    <w:p>
      <w:pPr>
        <w:spacing w:line="240" w:lineRule="auto"/>
      </w:pPr>
      <w:r>
        <w:t>84 of the ORF8 protein. Those variants with this muta-</w:t>
      </w:r>
    </w:p>
    <w:p>
      <w:pPr>
        <w:spacing w:line="240" w:lineRule="auto"/>
      </w:pPr>
      <w:r>
        <w:t>tion make up a single subclade labelled as ‘clade S***.</w:t>
      </w:r>
    </w:p>
    <w:p>
      <w:pPr>
        <w:spacing w:line="240" w:lineRule="auto"/>
      </w:pPr>
      <w:r>
        <w:t>Currently, however, the available sequence data are not</w:t>
      </w:r>
    </w:p>
    <w:p>
      <w:pPr>
        <w:spacing w:line="240" w:lineRule="auto"/>
      </w:pPr>
      <w:r>
        <w:t>sufficient to interpret the early global transmission his-</w:t>
      </w:r>
    </w:p>
    <w:p>
      <w:pPr>
        <w:spacing w:line="240" w:lineRule="auto"/>
      </w:pPr>
      <w:r>
        <w:t>tory of the virus, and travel patterns, founder effects and</w:t>
      </w:r>
    </w:p>
    <w:p>
      <w:pPr>
        <w:spacing w:line="240" w:lineRule="auto"/>
      </w:pPr>
      <w:r>
        <w:t>public health measures also strongly influence the spread</w:t>
      </w:r>
    </w:p>
    <w:p>
      <w:pPr>
        <w:spacing w:line="240" w:lineRule="auto"/>
      </w:pPr>
      <w:r>
        <w:t>of particular lineages, irrespective of potential biological</w:t>
      </w:r>
    </w:p>
    <w:p>
      <w:pPr>
        <w:spacing w:line="240" w:lineRule="auto"/>
      </w:pPr>
      <w:r>
        <w:t>differences between different virus variants.</w:t>
      </w:r>
    </w:p>
    <w:p>
      <w:pPr>
        <w:spacing w:line="240" w:lineRule="auto"/>
      </w:pPr>
      <w:r>
        <w:t>Animal host and spillover</w:t>
      </w:r>
    </w:p>
    <w:p>
      <w:pPr>
        <w:spacing w:line="240" w:lineRule="auto"/>
      </w:pPr>
      <w:r>
        <w:t>Bats are important natural hosts of alphacoronavi-</w:t>
      </w:r>
    </w:p>
    <w:p>
      <w:pPr>
        <w:spacing w:line="240" w:lineRule="auto"/>
      </w:pPr>
      <w:r>
        <w:t>ruses and betacoronaviruses. The closest relative</w:t>
      </w:r>
    </w:p>
    <w:p>
      <w:pPr>
        <w:spacing w:line="240" w:lineRule="auto"/>
      </w:pPr>
      <w:r>
        <w:t>to SARS-CoV-2 known to date is a bat coronavirus</w:t>
      </w:r>
    </w:p>
    <w:p>
      <w:pPr>
        <w:spacing w:line="240" w:lineRule="auto"/>
      </w:pPr>
      <w:r>
        <w:t>detected in Rhinolophus affinis from Yunnan province,</w:t>
      </w:r>
    </w:p>
    <w:p>
      <w:pPr>
        <w:spacing w:line="240" w:lineRule="auto"/>
      </w:pPr>
      <w:r>
        <w:t>China, named ‘RaTG13’, whose full-length genome</w:t>
      </w:r>
    </w:p>
    <w:p>
      <w:pPr>
        <w:spacing w:line="240" w:lineRule="auto"/>
      </w:pPr>
      <w:r>
        <w:t>sequence is 96.2% identical to that of SARS-CoV-2</w:t>
      </w:r>
    </w:p>
    <w:p>
      <w:pPr>
        <w:spacing w:line="240" w:lineRule="auto"/>
      </w:pPr>
      <w:r>
        <w:t>(REF."'). This bat virus shares more than 90% sequence</w:t>
      </w:r>
    </w:p>
    <w:p>
      <w:pPr>
        <w:spacing w:line="240" w:lineRule="auto"/>
      </w:pPr>
      <w:r>
        <w:t>identity with SARS-CoV-2 in all ORFs throughout</w:t>
      </w:r>
    </w:p>
    <w:p>
      <w:pPr>
        <w:spacing w:line="240" w:lineRule="auto"/>
      </w:pPr>
      <w:r>
        <w:t>the genome, including the highly variable S and ORF8</w:t>
      </w:r>
    </w:p>
    <w:p>
      <w:pPr>
        <w:spacing w:line="240" w:lineRule="auto"/>
      </w:pPr>
      <w:r>
        <w:t>(REF."'). Phylogenetic analysis confirms that SARS-CoV-2</w:t>
      </w:r>
    </w:p>
    <w:p>
      <w:pPr>
        <w:spacing w:line="240" w:lineRule="auto"/>
      </w:pPr>
      <w:r>
        <w:t>closely clusters with RaTG13 (FIG. 2). The high genetic</w:t>
      </w:r>
    </w:p>
    <w:p>
      <w:pPr>
        <w:spacing w:line="240" w:lineRule="auto"/>
      </w:pPr>
      <w:r>
        <w:t>similarity between SARS-CoV-2 and RaTG13 supports</w:t>
      </w:r>
    </w:p>
    <w:p>
      <w:pPr>
        <w:spacing w:line="240" w:lineRule="auto"/>
      </w:pPr>
      <w:r>
        <w:t>the hypothesis that SARS-CoV-2 likely originated from</w:t>
      </w:r>
    </w:p>
    <w:p>
      <w:pPr>
        <w:spacing w:line="240" w:lineRule="auto"/>
      </w:pPr>
      <w:r>
        <w:t>bats*. Another related coronavirus has been reported</w:t>
      </w:r>
    </w:p>
    <w:p>
      <w:pPr>
        <w:spacing w:line="240" w:lineRule="auto"/>
      </w:pPr>
      <w:r>
        <w:t>more recently in a Rhinolophus malayanus bat sampled</w:t>
      </w:r>
    </w:p>
    <w:p>
      <w:pPr>
        <w:spacing w:line="240" w:lineRule="auto"/>
      </w:pPr>
      <w:r>
        <w:t>in Yunnan Thic navel hat virne denated ‘RmMYNN)’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