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progress from the initial focal unilateral to diffuse</w:t>
      </w:r>
    </w:p>
    <w:p>
      <w:pPr>
        <w:spacing w:line="240" w:lineRule="auto"/>
      </w:pPr>
      <w:r>
        <w:t>bilateral ground-glass opacities and will further</w:t>
      </w:r>
    </w:p>
    <w:p>
      <w:pPr>
        <w:spacing w:line="240" w:lineRule="auto"/>
      </w:pPr>
      <w:r>
        <w:t>progress to or coexist with lung consolidation</w:t>
      </w:r>
    </w:p>
    <w:p>
      <w:pPr>
        <w:spacing w:line="240" w:lineRule="auto"/>
      </w:pPr>
      <w:r>
        <w:t>changes within 1 to 3 weeks (159). The role played</w:t>
      </w:r>
    </w:p>
    <w:p>
      <w:pPr>
        <w:spacing w:line="240" w:lineRule="auto"/>
      </w:pPr>
      <w:r>
        <w:t>by radiologists in the current scenario is very</w:t>
      </w:r>
    </w:p>
    <w:p>
      <w:pPr>
        <w:spacing w:line="240" w:lineRule="auto"/>
      </w:pPr>
      <w:r>
        <w:t>important. Radiologists can help in the early</w:t>
      </w:r>
    </w:p>
    <w:p>
      <w:pPr>
        <w:spacing w:line="240" w:lineRule="auto"/>
      </w:pPr>
      <w:r>
        <w:t>diagnosis of lung abnormalities associated with</w:t>
      </w:r>
    </w:p>
    <w:p>
      <w:pPr>
        <w:spacing w:line="240" w:lineRule="auto"/>
      </w:pPr>
      <w:r>
        <w:t>COVID-19 pneumonia. They can also help in the</w:t>
      </w:r>
    </w:p>
    <w:p>
      <w:pPr>
        <w:spacing w:line="240" w:lineRule="auto"/>
      </w:pPr>
      <w:r>
        <w:t>evaluation of disease severity, identifying its</w:t>
      </w:r>
    </w:p>
    <w:p>
      <w:pPr>
        <w:spacing w:line="240" w:lineRule="auto"/>
      </w:pPr>
      <w:r>
        <w:t>progression to acute respiratory distress syndrome</w:t>
      </w:r>
    </w:p>
    <w:p>
      <w:pPr>
        <w:spacing w:line="240" w:lineRule="auto"/>
      </w:pPr>
      <w:r>
        <w:t>and the presence of secondary bacterial infections</w:t>
      </w:r>
    </w:p>
    <w:p>
      <w:pPr>
        <w:spacing w:line="240" w:lineRule="auto"/>
      </w:pPr>
      <w:r>
        <w:t>(160). Even though chest CT is considered an</w:t>
      </w:r>
    </w:p>
    <w:p>
      <w:pPr>
        <w:spacing w:line="240" w:lineRule="auto"/>
      </w:pPr>
      <w:r>
        <w:t>essential diagnostic tool for COVID-19, the</w:t>
      </w:r>
    </w:p>
    <w:p>
      <w:pPr>
        <w:spacing w:line="240" w:lineRule="auto"/>
      </w:pPr>
      <w:r>
        <w:t>extensive use of CT for screening purposes in the</w:t>
      </w:r>
    </w:p>
    <w:p>
      <w:pPr>
        <w:spacing w:line="240" w:lineRule="auto"/>
      </w:pPr>
      <w:r>
        <w:t>suspected individuals might be associated with a</w:t>
      </w:r>
    </w:p>
    <w:p>
      <w:pPr>
        <w:spacing w:line="240" w:lineRule="auto"/>
      </w:pPr>
      <w:r>
        <w:t>disproportionate risk-benefit ratio due to increased</w:t>
      </w:r>
    </w:p>
    <w:p>
      <w:pPr>
        <w:spacing w:line="240" w:lineRule="auto"/>
      </w:pPr>
      <w:r>
        <w:t>radiation exposure as well as increased risk of cross-</w:t>
      </w:r>
    </w:p>
    <w:p>
      <w:pPr>
        <w:spacing w:line="240" w:lineRule="auto"/>
      </w:pPr>
      <w:r>
        <w:t>infection. Hence, the use of CT for early diagnosis of</w:t>
      </w:r>
    </w:p>
    <w:p>
      <w:pPr>
        <w:spacing w:line="240" w:lineRule="auto"/>
      </w:pPr>
      <w:r>
        <w:t>SARS-CoV-2 infection in high-risk groups should be</w:t>
      </w:r>
    </w:p>
    <w:p>
      <w:pPr>
        <w:spacing w:line="240" w:lineRule="auto"/>
      </w:pPr>
      <w:r>
        <w:t>done with great caution (292).</w:t>
      </w:r>
    </w:p>
    <w:p>
      <w:pPr>
        <w:spacing w:line="240" w:lineRule="auto"/>
      </w:pPr>
      <w:r>
        <w:t>More recently, other advanced diagnostics have</w:t>
      </w:r>
    </w:p>
    <w:p>
      <w:pPr>
        <w:spacing w:line="240" w:lineRule="auto"/>
      </w:pPr>
      <w:r>
        <w:t>been designed and developed for the detection of</w:t>
      </w:r>
    </w:p>
    <w:p>
      <w:pPr>
        <w:spacing w:line="240" w:lineRule="auto"/>
      </w:pPr>
      <w:r>
        <w:t>SARS-CoV-2 (345, 347, 350-352). A reverse</w:t>
      </w:r>
    </w:p>
    <w:p>
      <w:pPr>
        <w:spacing w:line="240" w:lineRule="auto"/>
      </w:pPr>
      <w:r>
        <w:t>transcriptional loop-mediated isothermal</w:t>
      </w:r>
    </w:p>
    <w:p>
      <w:pPr>
        <w:spacing w:line="240" w:lineRule="auto"/>
      </w:pPr>
      <w:r>
        <w:t>amplification (RT-LAMP), namely, iLACO, has been</w:t>
      </w:r>
    </w:p>
    <w:p>
      <w:pPr>
        <w:spacing w:line="240" w:lineRule="auto"/>
      </w:pPr>
      <w:r>
        <w:t>developed for rapid and colorimetric detection of this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