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6.3 Serological testing</w:t>
      </w:r>
    </w:p>
    <w:p>
      <w:pPr>
        <w:spacing w:line="240" w:lineRule="auto"/>
      </w:pPr>
      <w:r>
        <w:t>Serological surveys are also considered to be</w:t>
      </w:r>
    </w:p>
    <w:p>
      <w:pPr>
        <w:spacing w:line="240" w:lineRule="auto"/>
      </w:pPr>
      <w:r>
        <w:t>one of the most effective ones in facilitating</w:t>
      </w:r>
    </w:p>
    <w:p>
      <w:pPr>
        <w:spacing w:line="240" w:lineRule="auto"/>
      </w:pPr>
      <w:r>
        <w:t>outbreak investigation and it also helps us to</w:t>
      </w:r>
    </w:p>
    <w:p>
      <w:pPr>
        <w:spacing w:line="240" w:lineRule="auto"/>
      </w:pPr>
      <w:r>
        <w:t>derive a retrospective assessment of the</w:t>
      </w:r>
    </w:p>
    <w:p>
      <w:pPr>
        <w:spacing w:line="240" w:lineRule="auto"/>
      </w:pPr>
      <w:r>
        <w:t>disease by estimating the attack rate.°7</w:t>
      </w:r>
    </w:p>
    <w:p>
      <w:pPr>
        <w:spacing w:line="240" w:lineRule="auto"/>
      </w:pPr>
      <w:r>
        <w:t>According to the recent literature, paired serum</w:t>
      </w:r>
    </w:p>
    <w:p>
      <w:pPr>
        <w:spacing w:line="240" w:lineRule="auto"/>
      </w:pPr>
      <w:r>
        <w:t>samples can also help clinicians to diagnose</w:t>
      </w:r>
    </w:p>
    <w:p>
      <w:pPr>
        <w:spacing w:line="240" w:lineRule="auto"/>
      </w:pPr>
      <w:r>
        <w:t>COVID-19 in case of false negative results in</w:t>
      </w:r>
    </w:p>
    <w:p>
      <w:pPr>
        <w:spacing w:line="240" w:lineRule="auto"/>
      </w:pPr>
      <w:r>
        <w:t>NAAT essays.” The literature also declared that</w:t>
      </w:r>
    </w:p>
    <w:p>
      <w:pPr>
        <w:spacing w:line="240" w:lineRule="auto"/>
      </w:pPr>
      <w:r>
        <w:t>the commercial and non-commercial serological</w:t>
      </w:r>
    </w:p>
    <w:p>
      <w:pPr>
        <w:spacing w:line="240" w:lineRule="auto"/>
      </w:pPr>
      <w:r>
        <w:t>tests are under consideration in order to</w:t>
      </w:r>
    </w:p>
    <w:p>
      <w:pPr>
        <w:spacing w:line="240" w:lineRule="auto"/>
      </w:pPr>
      <w:r>
        <w:t>support the practising clinicians by assisting</w:t>
      </w:r>
    </w:p>
    <w:p>
      <w:pPr>
        <w:spacing w:line="240" w:lineRule="auto"/>
      </w:pPr>
      <w:r>
        <w:t>them in diagnosis. Similarly, there are studies</w:t>
      </w:r>
    </w:p>
    <w:p>
      <w:pPr>
        <w:spacing w:line="240" w:lineRule="auto"/>
      </w:pPr>
      <w:r>
        <w:t>published on COVID-19 which are comprised of</w:t>
      </w:r>
    </w:p>
    <w:p>
      <w:pPr>
        <w:spacing w:line="240" w:lineRule="auto"/>
      </w:pPr>
      <w:r>
        <w:t>the serological data on clinical samples.*® *?</w:t>
      </w:r>
    </w:p>
    <w:p>
      <w:pPr>
        <w:spacing w:line="240" w:lineRule="auto"/>
      </w:pPr>
      <w:r>
        <w:t>6.4 Viral sequencing</w:t>
      </w:r>
    </w:p>
    <w:p>
      <w:pPr>
        <w:spacing w:line="240" w:lineRule="auto"/>
      </w:pPr>
      <w:r>
        <w:t>Apart from confirming the presence of virus in</w:t>
      </w:r>
    </w:p>
    <w:p>
      <w:pPr>
        <w:spacing w:line="240" w:lineRule="auto"/>
      </w:pPr>
      <w:r>
        <w:t>the specimens, viral sequencing is also quite</w:t>
      </w:r>
    </w:p>
    <w:p>
      <w:pPr>
        <w:spacing w:line="240" w:lineRule="auto"/>
      </w:pPr>
      <w:r>
        <w:t>useful in monitoring the viral genomic</w:t>
      </w:r>
    </w:p>
    <w:p>
      <w:pPr>
        <w:spacing w:line="240" w:lineRule="auto"/>
      </w:pPr>
      <w:r>
        <w:t>mutations, which plays a very significant role in</w:t>
      </w:r>
    </w:p>
    <w:p>
      <w:pPr>
        <w:spacing w:line="240" w:lineRule="auto"/>
      </w:pPr>
      <w:r>
        <w:t>influencing the performance of the medical</w:t>
      </w:r>
    </w:p>
    <w:p>
      <w:pPr>
        <w:spacing w:line="240" w:lineRule="auto"/>
      </w:pPr>
      <w:r>
        <w:t>countermeasures inclusive of the diagnostic</w:t>
      </w:r>
    </w:p>
    <w:p>
      <w:pPr>
        <w:spacing w:line="240" w:lineRule="auto"/>
      </w:pPr>
      <w:r>
        <w:t>test. Genomic sequencing of the virus can also</w:t>
      </w:r>
    </w:p>
    <w:p>
      <w:pPr>
        <w:spacing w:line="240" w:lineRule="auto"/>
      </w:pPr>
      <w:r>
        <w:t>help further in developing several studies</w:t>
      </w:r>
    </w:p>
    <w:p>
      <w:pPr>
        <w:spacing w:line="240" w:lineRule="auto"/>
      </w:pPr>
      <w:r>
        <w:t>related to molecular epidemiology.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