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strain of Mycobacterium bovis. At present, three new</w:t>
      </w:r>
    </w:p>
    <w:p>
      <w:pPr>
        <w:spacing w:line="240" w:lineRule="auto"/>
      </w:pPr>
      <w:r>
        <w:t>clinical trials have been registered to evaluate the</w:t>
      </w:r>
    </w:p>
    <w:p>
      <w:pPr>
        <w:spacing w:line="240" w:lineRule="auto"/>
      </w:pPr>
      <w:r>
        <w:t>protective role of BCG vaccination against SARS-</w:t>
      </w:r>
    </w:p>
    <w:p>
      <w:pPr>
        <w:spacing w:line="240" w:lineRule="auto"/>
      </w:pPr>
      <w:r>
        <w:t>CoV-2 (363). Recently, a cohort study was conducted</w:t>
      </w:r>
    </w:p>
    <w:p>
      <w:pPr>
        <w:spacing w:line="240" w:lineRule="auto"/>
      </w:pPr>
      <w:r>
        <w:t>to evaluate the impact of childhood BCG vaccination</w:t>
      </w:r>
    </w:p>
    <w:p>
      <w:pPr>
        <w:spacing w:line="240" w:lineRule="auto"/>
      </w:pPr>
      <w:r>
        <w:t>in COVID-19 PCR _ positivity rates. However,</w:t>
      </w:r>
    </w:p>
    <w:p>
      <w:pPr>
        <w:spacing w:line="240" w:lineRule="auto"/>
      </w:pPr>
      <w:r>
        <w:t>childhood BCG vaccination was found to be</w:t>
      </w:r>
    </w:p>
    <w:p>
      <w:pPr>
        <w:spacing w:line="240" w:lineRule="auto"/>
      </w:pPr>
      <w:r>
        <w:t>associated with a rate of COVID-19-positive test</w:t>
      </w:r>
    </w:p>
    <w:p>
      <w:pPr>
        <w:spacing w:line="240" w:lineRule="auto"/>
      </w:pPr>
      <w:r>
        <w:t>results similar to that of the nonvaccinated group</w:t>
      </w:r>
    </w:p>
    <w:p>
      <w:pPr>
        <w:spacing w:line="240" w:lineRule="auto"/>
      </w:pPr>
      <w:r>
        <w:t>(364). Further studies are required to analyze</w:t>
      </w:r>
    </w:p>
    <w:p>
      <w:pPr>
        <w:spacing w:line="240" w:lineRule="auto"/>
      </w:pPr>
      <w:r>
        <w:t>whether BCG vaccination in childhood can induce</w:t>
      </w:r>
    </w:p>
    <w:p>
      <w:pPr>
        <w:spacing w:line="240" w:lineRule="auto"/>
      </w:pPr>
      <w:r>
        <w:t>protective effects against COVID-19 in adulthood.</w:t>
      </w:r>
    </w:p>
    <w:p>
      <w:pPr>
        <w:spacing w:line="240" w:lineRule="auto"/>
      </w:pPr>
      <w:r>
        <w:t>Population genetic studies conducted on 103</w:t>
      </w:r>
    </w:p>
    <w:p>
      <w:pPr>
        <w:spacing w:line="240" w:lineRule="auto"/>
      </w:pPr>
      <w:r>
        <w:t>genomes identified that the SARS-CoV-2 virus has</w:t>
      </w:r>
    </w:p>
    <w:p>
      <w:pPr>
        <w:spacing w:line="240" w:lineRule="auto"/>
      </w:pPr>
      <w:r>
        <w:t>evolved into two major types, L and S. Among the</w:t>
      </w:r>
    </w:p>
    <w:p>
      <w:pPr>
        <w:spacing w:line="240" w:lineRule="auto"/>
      </w:pPr>
      <w:r>
        <w:t>two types, L type is expected to be the most</w:t>
      </w:r>
    </w:p>
    <w:p>
      <w:pPr>
        <w:spacing w:line="240" w:lineRule="auto"/>
      </w:pPr>
      <w:r>
        <w:t>prevalent (~70%), followed by the S type (~30%)</w:t>
      </w:r>
    </w:p>
    <w:p>
      <w:pPr>
        <w:spacing w:line="240" w:lineRule="auto"/>
      </w:pPr>
      <w:r>
        <w:t>(366). This finding has a significant impact on our</w:t>
      </w:r>
    </w:p>
    <w:p>
      <w:pPr>
        <w:spacing w:line="240" w:lineRule="auto"/>
      </w:pPr>
      <w:r>
        <w:t>race to develop an ideal vaccine, since the vaccine</w:t>
      </w:r>
    </w:p>
    <w:p>
      <w:pPr>
        <w:spacing w:line="240" w:lineRule="auto"/>
      </w:pPr>
      <w:r>
        <w:t>candidate has to target both strains to be considered</w:t>
      </w:r>
    </w:p>
    <w:p>
      <w:pPr>
        <w:spacing w:line="240" w:lineRule="auto"/>
      </w:pPr>
      <w:r>
        <w:t>effective. At present, the genetic differences between</w:t>
      </w:r>
    </w:p>
    <w:p>
      <w:pPr>
        <w:spacing w:line="240" w:lineRule="auto"/>
      </w:pPr>
      <w:r>
        <w:t>the L and S types are very small and may not affect</w:t>
      </w:r>
    </w:p>
    <w:p>
      <w:pPr>
        <w:spacing w:line="240" w:lineRule="auto"/>
      </w:pPr>
      <w:r>
        <w:t>the immune response. However, we can expect</w:t>
      </w:r>
    </w:p>
    <w:p>
      <w:pPr>
        <w:spacing w:line="240" w:lineRule="auto"/>
      </w:pPr>
      <w:r>
        <w:t>further genetic variations in the coming days that</w:t>
      </w:r>
    </w:p>
    <w:p>
      <w:pPr>
        <w:spacing w:line="240" w:lineRule="auto"/>
      </w:pPr>
      <w:r>
        <w:t>could lead to the emergence of new strains (367).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