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length to the corresponding proteins in SARS-CoV.</w:t>
      </w:r>
    </w:p>
    <w:p>
      <w:pPr>
        <w:spacing w:line="240" w:lineRule="auto"/>
      </w:pPr>
      <w:r>
        <w:t>Of the four structural genes, SARS-CoV-2 shares more</w:t>
      </w:r>
    </w:p>
    <w:p>
      <w:pPr>
        <w:spacing w:line="240" w:lineRule="auto"/>
      </w:pPr>
      <w:r>
        <w:t>than 90% amino acid identity with SARS-CoV except</w:t>
      </w:r>
    </w:p>
    <w:p>
      <w:pPr>
        <w:spacing w:line="240" w:lineRule="auto"/>
      </w:pPr>
      <w:r>
        <w:t>for the S gene, which diverges''”’. The replicase gene</w:t>
      </w:r>
    </w:p>
    <w:p>
      <w:pPr>
        <w:spacing w:line="240" w:lineRule="auto"/>
      </w:pPr>
      <w:r>
        <w:t>covers two thirds of the 5’ genome, and encodes a large</w:t>
      </w:r>
    </w:p>
    <w:p>
      <w:pPr>
        <w:spacing w:line="240" w:lineRule="auto"/>
      </w:pPr>
      <w:r>
        <w:t>polyprotein (pplab),which is proteolytically cleaved into</w:t>
      </w:r>
    </w:p>
    <w:p>
      <w:pPr>
        <w:spacing w:line="240" w:lineRule="auto"/>
      </w:pPr>
      <w:r>
        <w:t>16 non-structural proteins that are involved in transcrip-</w:t>
      </w:r>
    </w:p>
    <w:p>
      <w:pPr>
        <w:spacing w:line="240" w:lineRule="auto"/>
      </w:pPr>
      <w:r>
        <w:t>tion and virus replication. Most of these SARS-CoV-2</w:t>
      </w:r>
    </w:p>
    <w:p>
      <w:pPr>
        <w:spacing w:line="240" w:lineRule="auto"/>
      </w:pPr>
      <w:r>
        <w:t>non-structural proteins have greater than 85% amino</w:t>
      </w:r>
    </w:p>
    <w:p>
      <w:pPr>
        <w:spacing w:line="240" w:lineRule="auto"/>
      </w:pPr>
      <w:r>
        <w:t>acid sequence identity with SARS-CoV”.</w:t>
      </w:r>
    </w:p>
    <w:p>
      <w:pPr>
        <w:spacing w:line="240" w:lineRule="auto"/>
      </w:pPr>
      <w:r>
        <w:t>The phylogenetic analysis for the whole genome</w:t>
      </w:r>
    </w:p>
    <w:p>
      <w:pPr>
        <w:spacing w:line="240" w:lineRule="auto"/>
      </w:pPr>
      <w:r>
        <w:t>shows that SARS-CoV-2 is clustered with SARS-CoV</w:t>
      </w:r>
    </w:p>
    <w:p>
      <w:pPr>
        <w:spacing w:line="240" w:lineRule="auto"/>
      </w:pPr>
      <w:r>
        <w:t>and SARS-related coronaviruses (SARSr-CoVs) found</w:t>
      </w:r>
    </w:p>
    <w:p>
      <w:pPr>
        <w:spacing w:line="240" w:lineRule="auto"/>
      </w:pPr>
      <w:r>
        <w:t>in bats, placing it in the subgenus Sarbecovirus of the</w:t>
      </w:r>
    </w:p>
    <w:p>
      <w:pPr>
        <w:spacing w:line="240" w:lineRule="auto"/>
      </w:pPr>
      <w:r>
        <w:t>genus Betacoronavirus. Within this clade, SARS-CoV-2</w:t>
      </w:r>
    </w:p>
    <w:p>
      <w:pPr>
        <w:spacing w:line="240" w:lineRule="auto"/>
      </w:pPr>
      <w:r>
        <w:t>is grouped in a distinct lineage together with four horse-</w:t>
      </w:r>
    </w:p>
    <w:p>
      <w:pPr>
        <w:spacing w:line="240" w:lineRule="auto"/>
      </w:pPr>
      <w:r>
        <w:t>shoe bat coronavirus isolates (RaTG13, RmYN02, ZC45</w:t>
      </w:r>
    </w:p>
    <w:p>
      <w:pPr>
        <w:spacing w:line="240" w:lineRule="auto"/>
      </w:pPr>
      <w:r>
        <w:t>and ZXC21) as well as novel coronaviruses recently iden-</w:t>
      </w:r>
    </w:p>
    <w:p>
      <w:pPr>
        <w:spacing w:line="240" w:lineRule="auto"/>
      </w:pPr>
      <w:r>
        <w:t>tified in pangolins, which group parallel to SARS-CoV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