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from SARS-CoV (79% similarity) and MERS-CoV</w:t>
      </w:r>
    </w:p>
    <w:p>
      <w:pPr>
        <w:spacing w:line="240" w:lineRule="auto"/>
      </w:pPr>
      <w:r>
        <w:t>(nearly 50%) (17). COVID-19 is associated with</w:t>
      </w:r>
    </w:p>
    <w:p>
      <w:pPr>
        <w:spacing w:line="240" w:lineRule="auto"/>
      </w:pPr>
      <w:r>
        <w:t>afflictions of the lungs in all cases and generated</w:t>
      </w:r>
    </w:p>
    <w:p>
      <w:pPr>
        <w:spacing w:line="240" w:lineRule="auto"/>
      </w:pPr>
      <w:r>
        <w:t>characteristic chest computer tomography findings,</w:t>
      </w:r>
    </w:p>
    <w:p>
      <w:pPr>
        <w:spacing w:line="240" w:lineRule="auto"/>
      </w:pPr>
      <w:r>
        <w:t>such as the presence of multiple lesions in lung lobes</w:t>
      </w:r>
    </w:p>
    <w:p>
      <w:pPr>
        <w:spacing w:line="240" w:lineRule="auto"/>
      </w:pPr>
      <w:r>
        <w:t>that appear as dense, ground-glass opaque structures</w:t>
      </w:r>
    </w:p>
    <w:p>
      <w:pPr>
        <w:spacing w:line="240" w:lineRule="auto"/>
      </w:pPr>
      <w:r>
        <w:t>that occasionally coexist with consolidation shadows</w:t>
      </w:r>
    </w:p>
    <w:p>
      <w:pPr>
        <w:spacing w:line="240" w:lineRule="auto"/>
      </w:pPr>
      <w:r>
        <w:t>(18).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