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uqri4xh5n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Campaign Management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comprehensive tools for managing various types of charitable campaigns.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Campaign Lifecycle: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Create, update, and manage campaigns.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 for "Solo" campaigns (managed by a single organization) and "Shared" campaigns (collaborative efforts).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campaign targets and track financial progress toward those goals.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Categorize campaigns by status (Active, Completed, Urgent) and type.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Collaboration: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shared campaigns to include multiple participating organizations.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 the addition or removal of organizations from collaborative campaigns.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 and Filtering: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for campaigns via keywords in titles or descriptions.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 campaigns by their achievement percentage (e.g., campaigns near completion).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"Urgent" or "Ending Soon" campaigns based on remaining financial needs.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Archiving: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 soft-deletion and restoration of campaign records.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Automatically archive expired or completed campaigns after a defined period.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kzta2owyd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Donation and Financial Tracking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facilitate the secure processing and tracking of monetary contributions.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Contribution Processing: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 and manage individual donations linked to specific users and campaigns.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donation details, including donor identity, campaign validity, and minimum amount thresholds.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History and Records: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a complete donation history for each user.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the timeline of contributions for specific campaigns to analyze performance.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Analytics: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Calculate total funds raised globally, per campaign, and per user.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financial reports categorized by timeframes (Daily, Weekly, Monthly, Quarterly, Yearly).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high-value donors and top-performing campaigns.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Analyze donation trends based on time of day and day of the week.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64zie5clm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Donated Items (In-Kind) Management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manage the donation, storage, and distribution of physical goods.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Cataloging: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donors to list physical items, including descriptions, categories, and multiple images.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 the upload of relevant documentation (Item Attachments) and recipient-related paperwork.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Control: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item availability (Available vs. Unavailable/Distributed).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 organization-specific inventories.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 the transfer of donated items between different organizations.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 items by category (e.g., Food, Clothing, Electronics).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items recently donated or those missing necessary documentation/images.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y8fosldl8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Organization Management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manage the profiles and operational capabilities of participating charities.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Profile Management: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organization profiles including names, physical addresses, and registration dates.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 multiple communication channels (Contact Methods) for each organization.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Integration: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 secure payment integration credentials (API keys, integration IDs) to facilitate fund collection.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the validity of an organization's payment setup before allowing them to launch campaigns.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Tracking: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the number of active and completed campaigns per organization.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organizations that are currently inactive or lack sufficient profile information.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0diwhjnkr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dc2cqg8b4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97at7f94y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User and Security Management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ensure secure access and identity management for all participants.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Services: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 standard user registration and external authentication providers (e.g., Google, Facebook).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secure password management, including changes and resets via secure tokens.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email verification protocols for new accounts.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Control: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a role-based access control system to manage permissions for donors, organization staff, and administrators.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account security by tracking failed login attempts and providing account lockout/reset capabilities.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Retention: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for the deactivation (soft-deletion) and restoration of user accounts.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"Loyal Donors" based on donation frequency and lifetime contribution value.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