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Well: SYNTH_1_0   Type: Oil producer   Field: Testland</w:t>
      </w:r>
    </w:p>
    <w:p>
      <w:r>
        <w:t>Bottom depth: 7000 ft   Delivery: 01-Jan-2026</w:t>
      </w:r>
    </w:p>
    <w:p>
      <w:r>
        <w:t>Logged 09-Sep-2020 · orig 13-Jul-1981 · last WKO 2013/09/06 #4</w:t>
      </w:r>
    </w:p>
    <w:p xmlns:a="http://schemas.openxmlformats.org/drawingml/2006/main"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000" cy="300000"/>
                <wp:effectExtent l="0" t="0" r="0" b="0"/>
                <wp:wrapNone/>
                <wp:docPr id="1" name="tb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 xml:space="preserve">Pipes’ damage or well-head effect observed below well-head interval.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t>Damage photo: {{DMG1_1}}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footerReference w:type="first" r:id="rId12"/>
      <w:footerReference w:type="defaul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