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r>
        <w:t xml:space="preserve">Model Comparison: humarin T5 Paraphraser vs. Gemini 3.5 Flash-Lite</w:t>
      </w:r>
    </w:p>
    <w:p>
      <w:pPr>
        <w:spacing w:after="40"/>
      </w:pPr>
      <w:r>
        <w:rPr>
          <w:b/>
          <w:bCs/>
        </w:rPr>
        <w:t xml:space="preserve">Project:  </w:t>
      </w:r>
      <w:r>
        <w:t xml:space="preserve">ReviewIt Humanizer — rewriting AI-flagged sentences in research papers so they pass AI-content detectors without altering facts, citations, or meaning.</w:t>
      </w:r>
    </w:p>
    <w:p>
      <w:pPr>
        <w:spacing w:after="40"/>
      </w:pPr>
      <w:r>
        <w:rPr>
          <w:b/>
          <w:bCs/>
        </w:rPr>
        <w:t xml:space="preserve">Scope:  </w:t>
      </w:r>
      <w:r>
        <w:t xml:space="preserve">A head-to-head comparison of the two models evaluated to date for this task.</w:t>
      </w:r>
    </w:p>
    <w:p>
      <w:pPr>
        <w:spacing w:after="40"/>
      </w:pPr>
      <w:r>
        <w:rPr>
          <w:b/>
          <w:bCs/>
        </w:rPr>
        <w:t xml:space="preserve">Date:  </w:t>
      </w:r>
      <w:r>
        <w:t xml:space="preserve">8 October 2026</w:t>
      </w:r>
    </w:p>
    <w:p>
      <w:pPr>
        <w:pStyle w:val="Heading1"/>
        <w:spacing w:after="120" w:before="280"/>
      </w:pPr>
      <w:r>
        <w:t xml:space="preserve">1. Overview</w:t>
      </w:r>
    </w:p>
    <w:p>
      <w:pPr>
        <w:spacing w:after="140"/>
      </w:pPr>
      <w:r>
        <w:t xml:space="preserve">Both models were assessed as sentence-level humanizers. A single AI-flagged sentence is rewritten, reinserted into its original (largely human-written) paragraph, and the reassembled text is submitted to AI-content detectors. Detectors used: ZeroGPT and Copyleaks.</w:t>
      </w:r>
    </w:p>
    <w:p>
      <w:pPr>
        <w:spacing w:after="140"/>
      </w:pPr>
      <w:r>
        <w:t xml:space="preserve">The two models represent fundamentally different approaches:</w:t>
      </w:r>
    </w:p>
    <w:p>
      <w:pPr>
        <w:pStyle w:val="ListParagraph"/>
        <w:numPr>
          <w:ilvl w:val="0"/>
          <w:numId w:val="2"/>
        </w:numPr>
        <w:spacing w:after="80"/>
      </w:pPr>
      <w:r>
        <w:rPr>
          <w:b/>
          <w:bCs/>
        </w:rPr>
        <w:t xml:space="preserve">humarin/chatgpt_paraphraser_on_T5_base</w:t>
      </w:r>
      <w:r>
        <w:t xml:space="preserve"> — a small, open-weight paraphrasing model run locally.</w:t>
      </w:r>
    </w:p>
    <w:p>
      <w:pPr>
        <w:pStyle w:val="ListParagraph"/>
        <w:numPr>
          <w:ilvl w:val="0"/>
          <w:numId w:val="2"/>
        </w:numPr>
        <w:spacing w:after="80"/>
      </w:pPr>
      <w:r>
        <w:rPr>
          <w:b/>
          <w:bCs/>
        </w:rPr>
        <w:t xml:space="preserve">Gemini 3.5 Flash-Lite</w:t>
      </w:r>
      <w:r>
        <w:t xml:space="preserve"> — a commercial large language model accessed through Google's API and steered by prompt instructions.</w:t>
      </w:r>
    </w:p>
    <w:p>
      <w:pPr>
        <w:pStyle w:val="Heading1"/>
        <w:spacing w:after="120" w:before="280"/>
      </w:pPr>
      <w:r>
        <w:t xml:space="preserve">2. Model profiles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3730"/>
        <w:gridCol w:w="3730"/>
      </w:tblGrid>
      <w:tr>
        <w:trPr>
          <w:tblHeader/>
        </w:trPr>
        <w:tc>
          <w:tcPr>
            <w:tcW w:type="dxa" w:w="1900"/>
            <w:shd w:fill="D9E2F3" w:color="auto" w:val="clear"/>
            <w:tcMar>
              <w:top w:type="dxa" w:w="60"/>
              <w:left w:type="dxa" w:w="110"/>
              <w:bottom w:type="dxa" w:w="60"/>
              <w:right w:type="dxa" w:w="110"/>
            </w:tcMar>
          </w:tcPr>
          <w:p>
            <w:pPr>
              <w:spacing w:after="0"/>
            </w:pPr>
            <w:r>
              <w:rPr>
                <w:b/>
                <w:bCs/>
              </w:rPr>
              <w:t xml:space="preserve">Attribute</w:t>
            </w:r>
          </w:p>
        </w:tc>
        <w:tc>
          <w:tcPr>
            <w:tcW w:type="dxa" w:w="3730"/>
            <w:shd w:fill="D9E2F3" w:color="auto" w:val="clear"/>
            <w:tcMar>
              <w:top w:type="dxa" w:w="60"/>
              <w:left w:type="dxa" w:w="110"/>
              <w:bottom w:type="dxa" w:w="60"/>
              <w:right w:type="dxa" w:w="110"/>
            </w:tcMar>
          </w:tcPr>
          <w:p>
            <w:pPr>
              <w:spacing w:after="0"/>
            </w:pPr>
            <w:r>
              <w:rPr>
                <w:b/>
                <w:bCs/>
              </w:rPr>
              <w:t xml:space="preserve">humarin T5 Paraphraser</w:t>
            </w:r>
          </w:p>
        </w:tc>
        <w:tc>
          <w:tcPr>
            <w:tcW w:type="dxa" w:w="3730"/>
            <w:shd w:fill="D9E2F3" w:color="auto" w:val="clear"/>
            <w:tcMar>
              <w:top w:type="dxa" w:w="60"/>
              <w:left w:type="dxa" w:w="110"/>
              <w:bottom w:type="dxa" w:w="60"/>
              <w:right w:type="dxa" w:w="110"/>
            </w:tcMar>
          </w:tcPr>
          <w:p>
            <w:pPr>
              <w:spacing w:after="0"/>
            </w:pPr>
            <w:r>
              <w:rPr>
                <w:b/>
                <w:bCs/>
              </w:rPr>
              <w:t xml:space="preserve">Gemini 3.5 Flash-Lite</w:t>
            </w:r>
          </w:p>
        </w:tc>
      </w:tr>
      <w:tr>
        <w:trPr>
          <w:tblHeader w:val="off"/>
        </w:trPr>
        <w:tc>
          <w:tcPr>
            <w:tcW w:type="dxa" w:w="1900"/>
            <w:tcMar>
              <w:top w:type="dxa" w:w="60"/>
              <w:left w:type="dxa" w:w="110"/>
              <w:bottom w:type="dxa" w:w="60"/>
              <w:right w:type="dxa" w:w="110"/>
            </w:tcMar>
          </w:tcPr>
          <w:p>
            <w:pPr>
              <w:spacing w:after="0"/>
            </w:pPr>
            <w:r>
              <w:t xml:space="preserve">Model type</w:t>
            </w:r>
          </w:p>
        </w:tc>
        <w:tc>
          <w:tcPr>
            <w:tcW w:type="dxa" w:w="3730"/>
            <w:tcMar>
              <w:top w:type="dxa" w:w="60"/>
              <w:left w:type="dxa" w:w="110"/>
              <w:bottom w:type="dxa" w:w="60"/>
              <w:right w:type="dxa" w:w="110"/>
            </w:tcMar>
          </w:tcPr>
          <w:p>
            <w:pPr>
              <w:spacing w:after="0"/>
            </w:pPr>
            <w:r>
              <w:t xml:space="preserve">T5 sequence-to-sequence paraphraser (not an LLM)</w:t>
            </w:r>
          </w:p>
        </w:tc>
        <w:tc>
          <w:tcPr>
            <w:tcW w:type="dxa" w:w="3730"/>
            <w:tcMar>
              <w:top w:type="dxa" w:w="60"/>
              <w:left w:type="dxa" w:w="110"/>
              <w:bottom w:type="dxa" w:w="60"/>
              <w:right w:type="dxa" w:w="110"/>
            </w:tcMar>
          </w:tcPr>
          <w:p>
            <w:pPr>
              <w:spacing w:after="0"/>
            </w:pPr>
            <w:r>
              <w:t xml:space="preserve">Instruction-following large language model (multimodal)</w:t>
            </w:r>
          </w:p>
        </w:tc>
      </w:tr>
      <w:tr>
        <w:trPr>
          <w:tblHeader w:val="off"/>
        </w:trPr>
        <w:tc>
          <w:tcPr>
            <w:tcW w:type="dxa" w:w="1900"/>
            <w:tcMar>
              <w:top w:type="dxa" w:w="60"/>
              <w:left w:type="dxa" w:w="110"/>
              <w:bottom w:type="dxa" w:w="60"/>
              <w:right w:type="dxa" w:w="110"/>
            </w:tcMar>
          </w:tcPr>
          <w:p>
            <w:pPr>
              <w:spacing w:after="0"/>
            </w:pPr>
            <w:r>
              <w:t xml:space="preserve">Parameters</w:t>
            </w:r>
          </w:p>
        </w:tc>
        <w:tc>
          <w:tcPr>
            <w:tcW w:type="dxa" w:w="3730"/>
            <w:tcMar>
              <w:top w:type="dxa" w:w="60"/>
              <w:left w:type="dxa" w:w="110"/>
              <w:bottom w:type="dxa" w:w="60"/>
              <w:right w:type="dxa" w:w="110"/>
            </w:tcMar>
          </w:tcPr>
          <w:p>
            <w:pPr>
              <w:spacing w:after="0"/>
            </w:pPr>
            <w:r>
              <w:t xml:space="preserve">~223 million (open weights)</w:t>
            </w:r>
          </w:p>
        </w:tc>
        <w:tc>
          <w:tcPr>
            <w:tcW w:type="dxa" w:w="3730"/>
            <w:tcMar>
              <w:top w:type="dxa" w:w="60"/>
              <w:left w:type="dxa" w:w="110"/>
              <w:bottom w:type="dxa" w:w="60"/>
              <w:right w:type="dxa" w:w="110"/>
            </w:tcMar>
          </w:tcPr>
          <w:p>
            <w:pPr>
              <w:spacing w:after="0"/>
            </w:pPr>
            <w:r>
              <w:t xml:space="preserve">Not disclosed (proprietary)</w:t>
            </w:r>
          </w:p>
        </w:tc>
      </w:tr>
      <w:tr>
        <w:trPr>
          <w:tblHeader w:val="off"/>
        </w:trPr>
        <w:tc>
          <w:tcPr>
            <w:tcW w:type="dxa" w:w="1900"/>
            <w:tcMar>
              <w:top w:type="dxa" w:w="60"/>
              <w:left w:type="dxa" w:w="110"/>
              <w:bottom w:type="dxa" w:w="60"/>
              <w:right w:type="dxa" w:w="110"/>
            </w:tcMar>
          </w:tcPr>
          <w:p>
            <w:pPr>
              <w:spacing w:after="0"/>
            </w:pPr>
            <w:r>
              <w:t xml:space="preserve">Developer</w:t>
            </w:r>
          </w:p>
        </w:tc>
        <w:tc>
          <w:tcPr>
            <w:tcW w:type="dxa" w:w="3730"/>
            <w:tcMar>
              <w:top w:type="dxa" w:w="60"/>
              <w:left w:type="dxa" w:w="110"/>
              <w:bottom w:type="dxa" w:w="60"/>
              <w:right w:type="dxa" w:w="110"/>
            </w:tcMar>
          </w:tcPr>
          <w:p>
            <w:pPr>
              <w:spacing w:after="0"/>
            </w:pPr>
            <w:r>
              <w:t xml:space="preserve">Community (humarin)</w:t>
            </w:r>
          </w:p>
        </w:tc>
        <w:tc>
          <w:tcPr>
            <w:tcW w:type="dxa" w:w="3730"/>
            <w:tcMar>
              <w:top w:type="dxa" w:w="60"/>
              <w:left w:type="dxa" w:w="110"/>
              <w:bottom w:type="dxa" w:w="60"/>
              <w:right w:type="dxa" w:w="110"/>
            </w:tcMar>
          </w:tcPr>
          <w:p>
            <w:pPr>
              <w:spacing w:after="0"/>
            </w:pPr>
            <w:r>
              <w:t xml:space="preserve">Google</w:t>
            </w:r>
          </w:p>
        </w:tc>
      </w:tr>
      <w:tr>
        <w:trPr>
          <w:tblHeader w:val="off"/>
        </w:trPr>
        <w:tc>
          <w:tcPr>
            <w:tcW w:type="dxa" w:w="1900"/>
            <w:tcMar>
              <w:top w:type="dxa" w:w="60"/>
              <w:left w:type="dxa" w:w="110"/>
              <w:bottom w:type="dxa" w:w="60"/>
              <w:right w:type="dxa" w:w="110"/>
            </w:tcMar>
          </w:tcPr>
          <w:p>
            <w:pPr>
              <w:spacing w:after="0"/>
            </w:pPr>
            <w:r>
              <w:t xml:space="preserve">Operation</w:t>
            </w:r>
          </w:p>
        </w:tc>
        <w:tc>
          <w:tcPr>
            <w:tcW w:type="dxa" w:w="3730"/>
            <w:tcMar>
              <w:top w:type="dxa" w:w="60"/>
              <w:left w:type="dxa" w:w="110"/>
              <w:bottom w:type="dxa" w:w="60"/>
              <w:right w:type="dxa" w:w="110"/>
            </w:tcMar>
          </w:tcPr>
          <w:p>
            <w:pPr>
              <w:spacing w:after="0"/>
            </w:pPr>
            <w:r>
              <w:t xml:space="preserve">Fixed transformation; accepts a sentence and returns a paraphrase; no prompting</w:t>
            </w:r>
          </w:p>
        </w:tc>
        <w:tc>
          <w:tcPr>
            <w:tcW w:type="dxa" w:w="3730"/>
            <w:tcMar>
              <w:top w:type="dxa" w:w="60"/>
              <w:left w:type="dxa" w:w="110"/>
              <w:bottom w:type="dxa" w:w="60"/>
              <w:right w:type="dxa" w:w="110"/>
            </w:tcMar>
          </w:tcPr>
          <w:p>
            <w:pPr>
              <w:spacing w:after="0"/>
            </w:pPr>
            <w:r>
              <w:t xml:space="preserve">Prompt-driven; behaviour and constraints are set in the instruction</w:t>
            </w:r>
          </w:p>
        </w:tc>
      </w:tr>
      <w:tr>
        <w:trPr>
          <w:tblHeader w:val="off"/>
        </w:trPr>
        <w:tc>
          <w:tcPr>
            <w:tcW w:type="dxa" w:w="1900"/>
            <w:tcMar>
              <w:top w:type="dxa" w:w="60"/>
              <w:left w:type="dxa" w:w="110"/>
              <w:bottom w:type="dxa" w:w="60"/>
              <w:right w:type="dxa" w:w="110"/>
            </w:tcMar>
          </w:tcPr>
          <w:p>
            <w:pPr>
              <w:spacing w:after="0"/>
            </w:pPr>
            <w:r>
              <w:t xml:space="preserve">Deployment</w:t>
            </w:r>
          </w:p>
        </w:tc>
        <w:tc>
          <w:tcPr>
            <w:tcW w:type="dxa" w:w="3730"/>
            <w:tcMar>
              <w:top w:type="dxa" w:w="60"/>
              <w:left w:type="dxa" w:w="110"/>
              <w:bottom w:type="dxa" w:w="60"/>
              <w:right w:type="dxa" w:w="110"/>
            </w:tcMar>
          </w:tcPr>
          <w:p>
            <w:pPr>
              <w:spacing w:after="0"/>
            </w:pPr>
            <w:r>
              <w:t xml:space="preserve">Local, CPU, fully offline</w:t>
            </w:r>
          </w:p>
        </w:tc>
        <w:tc>
          <w:tcPr>
            <w:tcW w:type="dxa" w:w="3730"/>
            <w:tcMar>
              <w:top w:type="dxa" w:w="60"/>
              <w:left w:type="dxa" w:w="110"/>
              <w:bottom w:type="dxa" w:w="60"/>
              <w:right w:type="dxa" w:w="110"/>
            </w:tcMar>
          </w:tcPr>
          <w:p>
            <w:pPr>
              <w:spacing w:after="0"/>
            </w:pPr>
            <w:r>
              <w:t xml:space="preserve">Google Cloud API</w:t>
            </w:r>
          </w:p>
        </w:tc>
      </w:tr>
      <w:tr>
        <w:trPr>
          <w:tblHeader w:val="off"/>
        </w:trPr>
        <w:tc>
          <w:tcPr>
            <w:tcW w:type="dxa" w:w="1900"/>
            <w:tcMar>
              <w:top w:type="dxa" w:w="60"/>
              <w:left w:type="dxa" w:w="110"/>
              <w:bottom w:type="dxa" w:w="60"/>
              <w:right w:type="dxa" w:w="110"/>
            </w:tcMar>
          </w:tcPr>
          <w:p>
            <w:pPr>
              <w:spacing w:after="0"/>
            </w:pPr>
            <w:r>
              <w:t xml:space="preserve">Cost</w:t>
            </w:r>
          </w:p>
        </w:tc>
        <w:tc>
          <w:tcPr>
            <w:tcW w:type="dxa" w:w="3730"/>
            <w:tcMar>
              <w:top w:type="dxa" w:w="60"/>
              <w:left w:type="dxa" w:w="110"/>
              <w:bottom w:type="dxa" w:w="60"/>
              <w:right w:type="dxa" w:w="110"/>
            </w:tcMar>
          </w:tcPr>
          <w:p>
            <w:pPr>
              <w:spacing w:after="0"/>
            </w:pPr>
            <w:r>
              <w:t xml:space="preserve">Free (open model)</w:t>
            </w:r>
          </w:p>
        </w:tc>
        <w:tc>
          <w:tcPr>
            <w:tcW w:type="dxa" w:w="3730"/>
            <w:tcMar>
              <w:top w:type="dxa" w:w="60"/>
              <w:left w:type="dxa" w:w="110"/>
              <w:bottom w:type="dxa" w:w="60"/>
              <w:right w:type="dxa" w:w="110"/>
            </w:tcMar>
          </w:tcPr>
          <w:p>
            <w:pPr>
              <w:spacing w:after="0"/>
            </w:pPr>
            <w:r>
              <w:t xml:space="preserve">Free tier available (rate-limited); paid tier $0.30 per 1M input tokens, $2.50 per 1M output tokens</w:t>
            </w:r>
          </w:p>
        </w:tc>
      </w:tr>
      <w:tr>
        <w:trPr>
          <w:tblHeader w:val="off"/>
        </w:trPr>
        <w:tc>
          <w:tcPr>
            <w:tcW w:type="dxa" w:w="1900"/>
            <w:tcMar>
              <w:top w:type="dxa" w:w="60"/>
              <w:left w:type="dxa" w:w="110"/>
              <w:bottom w:type="dxa" w:w="60"/>
              <w:right w:type="dxa" w:w="110"/>
            </w:tcMar>
          </w:tcPr>
          <w:p>
            <w:pPr>
              <w:spacing w:after="0"/>
            </w:pPr>
            <w:r>
              <w:t xml:space="preserve">Throughput</w:t>
            </w:r>
          </w:p>
        </w:tc>
        <w:tc>
          <w:tcPr>
            <w:tcW w:type="dxa" w:w="3730"/>
            <w:tcMar>
              <w:top w:type="dxa" w:w="60"/>
              <w:left w:type="dxa" w:w="110"/>
              <w:bottom w:type="dxa" w:w="60"/>
              <w:right w:type="dxa" w:w="110"/>
            </w:tcMar>
          </w:tcPr>
          <w:p>
            <w:pPr>
              <w:spacing w:after="0"/>
            </w:pPr>
            <w:r>
              <w:t xml:space="preserve">~0.45 sentences/second (CPU)</w:t>
            </w:r>
          </w:p>
        </w:tc>
        <w:tc>
          <w:tcPr>
            <w:tcW w:type="dxa" w:w="3730"/>
            <w:tcMar>
              <w:top w:type="dxa" w:w="60"/>
              <w:left w:type="dxa" w:w="110"/>
              <w:bottom w:type="dxa" w:w="60"/>
              <w:right w:type="dxa" w:w="110"/>
            </w:tcMar>
          </w:tcPr>
          <w:p>
            <w:pPr>
              <w:spacing w:after="0"/>
            </w:pPr>
            <w:r>
              <w:t xml:space="preserve">~3 seconds per sentence (API)</w:t>
            </w:r>
          </w:p>
        </w:tc>
      </w:tr>
      <w:tr>
        <w:trPr>
          <w:tblHeader w:val="off"/>
        </w:trPr>
        <w:tc>
          <w:tcPr>
            <w:tcW w:type="dxa" w:w="1900"/>
            <w:tcMar>
              <w:top w:type="dxa" w:w="60"/>
              <w:left w:type="dxa" w:w="110"/>
              <w:bottom w:type="dxa" w:w="60"/>
              <w:right w:type="dxa" w:w="110"/>
            </w:tcMar>
          </w:tcPr>
          <w:p>
            <w:pPr>
              <w:spacing w:after="0"/>
            </w:pPr>
            <w:r>
              <w:t xml:space="preserve">Data handling</w:t>
            </w:r>
          </w:p>
        </w:tc>
        <w:tc>
          <w:tcPr>
            <w:tcW w:type="dxa" w:w="3730"/>
            <w:tcMar>
              <w:top w:type="dxa" w:w="60"/>
              <w:left w:type="dxa" w:w="110"/>
              <w:bottom w:type="dxa" w:w="60"/>
              <w:right w:type="dxa" w:w="110"/>
            </w:tcMar>
          </w:tcPr>
          <w:p>
            <w:pPr>
              <w:spacing w:after="0"/>
            </w:pPr>
            <w:r>
              <w:t xml:space="preserve">Nothing leaves the local machine</w:t>
            </w:r>
          </w:p>
        </w:tc>
        <w:tc>
          <w:tcPr>
            <w:tcW w:type="dxa" w:w="3730"/>
            <w:tcMar>
              <w:top w:type="dxa" w:w="60"/>
              <w:left w:type="dxa" w:w="110"/>
              <w:bottom w:type="dxa" w:w="60"/>
              <w:right w:type="dxa" w:w="110"/>
            </w:tcMar>
          </w:tcPr>
          <w:p>
            <w:pPr>
              <w:spacing w:after="0"/>
            </w:pPr>
            <w:r>
              <w:t xml:space="preserve">Text is sent to Google; free-tier inputs may be used for product improvement, paid-tier inputs are not</w:t>
            </w:r>
          </w:p>
        </w:tc>
      </w:tr>
      <w:tr>
        <w:trPr>
          <w:tblHeader w:val="off"/>
        </w:trPr>
        <w:tc>
          <w:tcPr>
            <w:tcW w:type="dxa" w:w="1900"/>
            <w:tcMar>
              <w:top w:type="dxa" w:w="60"/>
              <w:left w:type="dxa" w:w="110"/>
              <w:bottom w:type="dxa" w:w="60"/>
              <w:right w:type="dxa" w:w="110"/>
            </w:tcMar>
          </w:tcPr>
          <w:p>
            <w:pPr>
              <w:spacing w:after="0"/>
            </w:pPr>
            <w:r>
              <w:t xml:space="preserve">Reference</w:t>
            </w:r>
          </w:p>
        </w:tc>
        <w:tc>
          <w:tcPr>
            <w:tcW w:type="dxa" w:w="3730"/>
            <w:tcMar>
              <w:top w:type="dxa" w:w="60"/>
              <w:left w:type="dxa" w:w="110"/>
              <w:bottom w:type="dxa" w:w="60"/>
              <w:right w:type="dxa" w:w="110"/>
            </w:tcMar>
          </w:tcPr>
          <w:p>
            <w:pPr>
              <w:spacing w:after="0"/>
            </w:pPr>
            <w:r>
              <w:t xml:space="preserve">huggingface.co/humarin/chatgpt_paraphraser_on_T5_base</w:t>
            </w:r>
          </w:p>
        </w:tc>
        <w:tc>
          <w:tcPr>
            <w:tcW w:type="dxa" w:w="3730"/>
            <w:tcMar>
              <w:top w:type="dxa" w:w="60"/>
              <w:left w:type="dxa" w:w="110"/>
              <w:bottom w:type="dxa" w:w="60"/>
              <w:right w:type="dxa" w:w="110"/>
            </w:tcMar>
          </w:tcPr>
          <w:p>
            <w:pPr>
              <w:spacing w:after="0"/>
            </w:pPr>
            <w:r>
              <w:t xml:space="preserve">ai.google.dev/gemini-api/docs/models/gemini-3.5-flash-lite</w:t>
            </w:r>
          </w:p>
        </w:tc>
      </w:tr>
    </w:tbl>
    <w:p>
      <w:pPr>
        <w:pStyle w:val="Heading1"/>
        <w:spacing w:after="120" w:before="280"/>
      </w:pPr>
      <w:r>
        <w:t xml:space="preserve">3. Test results</w:t>
      </w:r>
    </w:p>
    <w:p>
      <w:pPr>
        <w:spacing w:after="140"/>
      </w:pPr>
      <w:r>
        <w:t xml:space="preserve">Each model was tested with the same procedure: rewrite the flagged sentence, reinsert it into the source paragraph, and score the reassembled text on the detectors.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380"/>
        <w:gridCol w:w="3380"/>
      </w:tblGrid>
      <w:tr>
        <w:trPr>
          <w:tblHeader/>
        </w:trPr>
        <w:tc>
          <w:tcPr>
            <w:tcW w:type="dxa" w:w="2600"/>
            <w:shd w:fill="D9E2F3" w:color="auto" w:val="clear"/>
            <w:tcMar>
              <w:top w:type="dxa" w:w="60"/>
              <w:left w:type="dxa" w:w="110"/>
              <w:bottom w:type="dxa" w:w="60"/>
              <w:right w:type="dxa" w:w="110"/>
            </w:tcMar>
          </w:tcPr>
          <w:p>
            <w:pPr>
              <w:spacing w:after="0"/>
            </w:pPr>
            <w:r>
              <w:rPr>
                <w:b/>
                <w:bCs/>
              </w:rPr>
              <w:t xml:space="preserve">Criterion</w:t>
            </w:r>
          </w:p>
        </w:tc>
        <w:tc>
          <w:tcPr>
            <w:tcW w:type="dxa" w:w="3380"/>
            <w:shd w:fill="D9E2F3" w:color="auto" w:val="clear"/>
            <w:tcMar>
              <w:top w:type="dxa" w:w="60"/>
              <w:left w:type="dxa" w:w="110"/>
              <w:bottom w:type="dxa" w:w="60"/>
              <w:right w:type="dxa" w:w="110"/>
            </w:tcMar>
          </w:tcPr>
          <w:p>
            <w:pPr>
              <w:spacing w:after="0"/>
            </w:pPr>
            <w:r>
              <w:rPr>
                <w:b/>
                <w:bCs/>
              </w:rPr>
              <w:t xml:space="preserve">humarin T5 Paraphraser</w:t>
            </w:r>
          </w:p>
        </w:tc>
        <w:tc>
          <w:tcPr>
            <w:tcW w:type="dxa" w:w="3380"/>
            <w:shd w:fill="D9E2F3" w:color="auto" w:val="clear"/>
            <w:tcMar>
              <w:top w:type="dxa" w:w="60"/>
              <w:left w:type="dxa" w:w="110"/>
              <w:bottom w:type="dxa" w:w="60"/>
              <w:right w:type="dxa" w:w="110"/>
            </w:tcMar>
          </w:tcPr>
          <w:p>
            <w:pPr>
              <w:spacing w:after="0"/>
            </w:pPr>
            <w:r>
              <w:rPr>
                <w:b/>
                <w:bCs/>
              </w:rPr>
              <w:t xml:space="preserve">Gemini 3.5 Flash-Lite</w:t>
            </w:r>
          </w:p>
        </w:tc>
      </w:tr>
      <w:tr>
        <w:trPr>
          <w:tblHeader w:val="off"/>
        </w:trPr>
        <w:tc>
          <w:tcPr>
            <w:tcW w:type="dxa" w:w="2600"/>
            <w:tcMar>
              <w:top w:type="dxa" w:w="60"/>
              <w:left w:type="dxa" w:w="110"/>
              <w:bottom w:type="dxa" w:w="60"/>
              <w:right w:type="dxa" w:w="110"/>
            </w:tcMar>
          </w:tcPr>
          <w:p>
            <w:pPr>
              <w:spacing w:after="0"/>
            </w:pPr>
            <w:r>
              <w:t xml:space="preserve">Detection evasion (sentence reinserted into paragraph)</w:t>
            </w:r>
          </w:p>
        </w:tc>
        <w:tc>
          <w:tcPr>
            <w:tcW w:type="dxa" w:w="3380"/>
            <w:tcMar>
              <w:top w:type="dxa" w:w="60"/>
              <w:left w:type="dxa" w:w="110"/>
              <w:bottom w:type="dxa" w:w="60"/>
              <w:right w:type="dxa" w:w="110"/>
            </w:tcMar>
          </w:tcPr>
          <w:p>
            <w:pPr>
              <w:spacing w:after="0"/>
            </w:pPr>
            <w:r>
              <w:t xml:space="preserve">Passed — ZeroGPT 0%, Copyleaks 0%</w:t>
            </w:r>
          </w:p>
        </w:tc>
        <w:tc>
          <w:tcPr>
            <w:tcW w:type="dxa" w:w="3380"/>
            <w:tcMar>
              <w:top w:type="dxa" w:w="60"/>
              <w:left w:type="dxa" w:w="110"/>
              <w:bottom w:type="dxa" w:w="60"/>
              <w:right w:type="dxa" w:w="110"/>
            </w:tcMar>
          </w:tcPr>
          <w:p>
            <w:pPr>
              <w:spacing w:after="0"/>
            </w:pPr>
            <w:r>
              <w:t xml:space="preserve">Passed — ZeroGPT 0%, Copyleaks 0%</w:t>
            </w:r>
          </w:p>
        </w:tc>
      </w:tr>
      <w:tr>
        <w:trPr>
          <w:tblHeader w:val="off"/>
        </w:trPr>
        <w:tc>
          <w:tcPr>
            <w:tcW w:type="dxa" w:w="2600"/>
            <w:tcMar>
              <w:top w:type="dxa" w:w="60"/>
              <w:left w:type="dxa" w:w="110"/>
              <w:bottom w:type="dxa" w:w="60"/>
              <w:right w:type="dxa" w:w="110"/>
            </w:tcMar>
          </w:tcPr>
          <w:p>
            <w:pPr>
              <w:spacing w:after="0"/>
            </w:pPr>
            <w:r>
              <w:t xml:space="preserve">Fact, number, and citation preservation</w:t>
            </w:r>
          </w:p>
        </w:tc>
        <w:tc>
          <w:tcPr>
            <w:tcW w:type="dxa" w:w="3380"/>
            <w:tcMar>
              <w:top w:type="dxa" w:w="60"/>
              <w:left w:type="dxa" w:w="110"/>
              <w:bottom w:type="dxa" w:w="60"/>
              <w:right w:type="dxa" w:w="110"/>
            </w:tcMar>
          </w:tcPr>
          <w:p>
            <w:pPr>
              <w:spacing w:after="0"/>
            </w:pPr>
            <w:r>
              <w:t xml:space="preserve">Generally preserved, but cannot be enforced</w:t>
            </w:r>
          </w:p>
        </w:tc>
        <w:tc>
          <w:tcPr>
            <w:tcW w:type="dxa" w:w="3380"/>
            <w:tcMar>
              <w:top w:type="dxa" w:w="60"/>
              <w:left w:type="dxa" w:w="110"/>
              <w:bottom w:type="dxa" w:w="60"/>
              <w:right w:type="dxa" w:w="110"/>
            </w:tcMar>
          </w:tcPr>
          <w:p>
            <w:pPr>
              <w:spacing w:after="0"/>
            </w:pPr>
            <w:r>
              <w:t xml:space="preserve">Preserved, and enforceable via prompt rules and an automated check</w:t>
            </w:r>
          </w:p>
        </w:tc>
      </w:tr>
      <w:tr>
        <w:trPr>
          <w:tblHeader w:val="off"/>
        </w:trPr>
        <w:tc>
          <w:tcPr>
            <w:tcW w:type="dxa" w:w="2600"/>
            <w:tcMar>
              <w:top w:type="dxa" w:w="60"/>
              <w:left w:type="dxa" w:w="110"/>
              <w:bottom w:type="dxa" w:w="60"/>
              <w:right w:type="dxa" w:w="110"/>
            </w:tcMar>
          </w:tcPr>
          <w:p>
            <w:pPr>
              <w:spacing w:after="0"/>
            </w:pPr>
            <w:r>
              <w:t xml:space="preserve">Observed issue during testing</w:t>
            </w:r>
          </w:p>
        </w:tc>
        <w:tc>
          <w:tcPr>
            <w:tcW w:type="dxa" w:w="3380"/>
            <w:tcMar>
              <w:top w:type="dxa" w:w="60"/>
              <w:left w:type="dxa" w:w="110"/>
              <w:bottom w:type="dxa" w:w="60"/>
              <w:right w:type="dxa" w:w="110"/>
            </w:tcMar>
          </w:tcPr>
          <w:p>
            <w:pPr>
              <w:spacing w:after="0"/>
            </w:pPr>
            <w:r>
              <w:t xml:space="preserve">Altered meaning: “maximizing operational efficiency” became “driving down operational costs”</w:t>
            </w:r>
          </w:p>
        </w:tc>
        <w:tc>
          <w:tcPr>
            <w:tcW w:type="dxa" w:w="3380"/>
            <w:tcMar>
              <w:top w:type="dxa" w:w="60"/>
              <w:left w:type="dxa" w:w="110"/>
              <w:bottom w:type="dxa" w:w="60"/>
              <w:right w:type="dxa" w:w="110"/>
            </w:tcMar>
          </w:tcPr>
          <w:p>
            <w:pPr>
              <w:spacing w:after="0"/>
            </w:pPr>
            <w:r>
              <w:t xml:space="preserve">Inserted a citation not present in the source (traced to an example in the prompt); corrected, and the automated check now blocks added citations</w:t>
            </w:r>
          </w:p>
        </w:tc>
      </w:tr>
      <w:tr>
        <w:trPr>
          <w:tblHeader w:val="off"/>
        </w:trPr>
        <w:tc>
          <w:tcPr>
            <w:tcW w:type="dxa" w:w="2600"/>
            <w:tcMar>
              <w:top w:type="dxa" w:w="60"/>
              <w:left w:type="dxa" w:w="110"/>
              <w:bottom w:type="dxa" w:w="60"/>
              <w:right w:type="dxa" w:w="110"/>
            </w:tcMar>
          </w:tcPr>
          <w:p>
            <w:pPr>
              <w:spacing w:after="0"/>
            </w:pPr>
            <w:r>
              <w:t xml:space="preserve">Control over output</w:t>
            </w:r>
          </w:p>
        </w:tc>
        <w:tc>
          <w:tcPr>
            <w:tcW w:type="dxa" w:w="3380"/>
            <w:tcMar>
              <w:top w:type="dxa" w:w="60"/>
              <w:left w:type="dxa" w:w="110"/>
              <w:bottom w:type="dxa" w:w="60"/>
              <w:right w:type="dxa" w:w="110"/>
            </w:tcMar>
          </w:tcPr>
          <w:p>
            <w:pPr>
              <w:spacing w:after="0"/>
            </w:pPr>
            <w:r>
              <w:t xml:space="preserve">None; behaviour is fixed and cannot be instructed</w:t>
            </w:r>
          </w:p>
        </w:tc>
        <w:tc>
          <w:tcPr>
            <w:tcW w:type="dxa" w:w="3380"/>
            <w:tcMar>
              <w:top w:type="dxa" w:w="60"/>
              <w:left w:type="dxa" w:w="110"/>
              <w:bottom w:type="dxa" w:w="60"/>
              <w:right w:type="dxa" w:w="110"/>
            </w:tcMar>
          </w:tcPr>
          <w:p>
            <w:pPr>
              <w:spacing w:after="0"/>
            </w:pPr>
            <w:r>
              <w:t xml:space="preserve">Full; can be instructed to keep every citation and change no figure</w:t>
            </w:r>
          </w:p>
        </w:tc>
      </w:tr>
      <w:tr>
        <w:trPr>
          <w:tblHeader w:val="off"/>
        </w:trPr>
        <w:tc>
          <w:tcPr>
            <w:tcW w:type="dxa" w:w="2600"/>
            <w:tcMar>
              <w:top w:type="dxa" w:w="60"/>
              <w:left w:type="dxa" w:w="110"/>
              <w:bottom w:type="dxa" w:w="60"/>
              <w:right w:type="dxa" w:w="110"/>
            </w:tcMar>
          </w:tcPr>
          <w:p>
            <w:pPr>
              <w:spacing w:after="0"/>
            </w:pPr>
            <w:r>
              <w:t xml:space="preserve">Restyling capability</w:t>
            </w:r>
          </w:p>
        </w:tc>
        <w:tc>
          <w:tcPr>
            <w:tcW w:type="dxa" w:w="3380"/>
            <w:tcMar>
              <w:top w:type="dxa" w:w="60"/>
              <w:left w:type="dxa" w:w="110"/>
              <w:bottom w:type="dxa" w:w="60"/>
              <w:right w:type="dxa" w:w="110"/>
            </w:tcMar>
          </w:tcPr>
          <w:p>
            <w:pPr>
              <w:spacing w:after="0"/>
            </w:pPr>
            <w:r>
              <w:t xml:space="preserve">Synonym substitution only; retains the original formal structure</w:t>
            </w:r>
          </w:p>
        </w:tc>
        <w:tc>
          <w:tcPr>
            <w:tcW w:type="dxa" w:w="3380"/>
            <w:tcMar>
              <w:top w:type="dxa" w:w="60"/>
              <w:left w:type="dxa" w:w="110"/>
              <w:bottom w:type="dxa" w:w="60"/>
              <w:right w:type="dxa" w:w="110"/>
            </w:tcMar>
          </w:tcPr>
          <w:p>
            <w:pPr>
              <w:spacing w:after="0"/>
            </w:pPr>
            <w:r>
              <w:t xml:space="preserve">Genuine casual restyle, which is what reduces detector scores</w:t>
            </w:r>
          </w:p>
        </w:tc>
      </w:tr>
    </w:tbl>
    <w:p>
      <w:pPr>
        <w:spacing w:after="140" w:before="160"/>
      </w:pPr>
      <w:r>
        <w:rPr>
          <w:b/>
          <w:bCs/>
        </w:rPr>
        <w:t xml:space="preserve">Key observation: </w:t>
      </w:r>
      <w:r>
        <w:t xml:space="preserve">At the sentence-reinsertion granularity used in production, both models reduced detector scores to 0%. Evasion alone therefore does not distinguish them. The distinguishing factor is </w:t>
      </w:r>
      <w:r>
        <w:rPr>
          <w:b/>
          <w:bCs/>
        </w:rPr>
        <w:t xml:space="preserve">control over fidelity</w:t>
      </w:r>
      <w:r>
        <w:t xml:space="preserve"> — the ability to guarantee and verify that facts and citations are preserved.</w:t>
      </w:r>
    </w:p>
    <w:p>
      <w:pPr>
        <w:pStyle w:val="Heading1"/>
        <w:spacing w:after="120" w:before="280"/>
      </w:pPr>
      <w:r>
        <w:t xml:space="preserve">4. Analysis</w:t>
      </w:r>
    </w:p>
    <w:p>
      <w:pPr>
        <w:spacing w:after="140"/>
      </w:pPr>
      <w:r>
        <w:rPr>
          <w:b/>
          <w:bCs/>
        </w:rPr>
        <w:t xml:space="preserve">humarin T5 Paraphraser</w:t>
      </w:r>
      <w:r>
        <w:t xml:space="preserve"> is fast, free, and private, and preserves content in straightforward cases. It is, however, a fixed model that cannot be steered: it performs synonym substitution only and retains the original sentence structure, and when it does change wording it can alter meaning with no mechanism to prevent it. For research papers, a fidelity risk that cannot be enforced is a material concern.</w:t>
      </w:r>
    </w:p>
    <w:p>
      <w:pPr>
        <w:spacing w:after="140"/>
      </w:pPr>
      <w:r>
        <w:rPr>
          <w:b/>
          <w:bCs/>
        </w:rPr>
        <w:t xml:space="preserve">Gemini 3.5 Flash-Lite</w:t>
      </w:r>
      <w:r>
        <w:t xml:space="preserve"> is an instruction-following model. It can be directed to restyle text while leaving every fact and citation unchanged, and that constraint can be verified automatically by the project's fidelity check, which flags any number or citation that is dropped or added. It incurs a per-call API cost and sends text to Google, but it is the only one of the two that combines genuine restyling with controllable, verifiable fidelity.</w:t>
      </w:r>
    </w:p>
    <w:p>
      <w:pPr>
        <w:pStyle w:val="Heading1"/>
        <w:spacing w:after="120" w:before="280"/>
      </w:pPr>
      <w:r>
        <w:t xml:space="preserve">5. Notes and caveats</w:t>
      </w:r>
    </w:p>
    <w:p>
      <w:pPr>
        <w:pStyle w:val="ListParagraph"/>
        <w:numPr>
          <w:ilvl w:val="0"/>
          <w:numId w:val="2"/>
        </w:numPr>
        <w:spacing w:after="80"/>
      </w:pPr>
      <w:r>
        <w:t xml:space="preserve">Gemini's parameter count is not published; Google, like other providers of frontier commercial models, does not disclose it.</w:t>
      </w:r>
    </w:p>
    <w:p>
      <w:pPr>
        <w:pStyle w:val="ListParagraph"/>
        <w:numPr>
          <w:ilvl w:val="0"/>
          <w:numId w:val="2"/>
        </w:numPr>
        <w:spacing w:after="80"/>
      </w:pPr>
      <w:r>
        <w:t xml:space="preserve">Detector testing covered ZeroGPT and Copyleaks (the latter at sensitivity level 2 of 3). GPTZero has not yet been tested.</w:t>
      </w:r>
    </w:p>
    <w:p>
      <w:pPr>
        <w:pStyle w:val="ListParagraph"/>
        <w:numPr>
          <w:ilvl w:val="0"/>
          <w:numId w:val="2"/>
        </w:numPr>
        <w:spacing w:after="80"/>
      </w:pPr>
      <w:r>
        <w:t xml:space="preserve">Results reflect the product's intended use — rewriting a small number of flagged sentences within otherwise human-written text — not whole-document rewriting.</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2026-10-08T11:01:28.669Z</dcterms:created>
  <dcterms:modified xsi:type="dcterms:W3CDTF">2026-10-08T11:01:28.670Z</dcterms:modified>
</cp:coreProperties>
</file>

<file path=docProps/custom.xml><?xml version="1.0" encoding="utf-8"?>
<Properties xmlns="http://schemas.openxmlformats.org/officeDocument/2006/custom-properties" xmlns:vt="http://schemas.openxmlformats.org/officeDocument/2006/docPropsVTypes"/>
</file>