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56A" w:rsidRPr="005E256A" w:rsidRDefault="00BE70E8" w:rsidP="005E256A">
      <w:pPr>
        <w:jc w:val="center"/>
        <w:rPr>
          <w:b/>
          <w:sz w:val="28"/>
          <w:u w:val="single"/>
        </w:rPr>
      </w:pPr>
      <w:r>
        <w:rPr>
          <w:b/>
          <w:sz w:val="28"/>
          <w:u w:val="single"/>
        </w:rPr>
        <w:t>SPH3U: 4</w:t>
      </w:r>
      <w:r w:rsidR="00636508">
        <w:rPr>
          <w:b/>
          <w:sz w:val="28"/>
          <w:u w:val="single"/>
        </w:rPr>
        <w:t>.</w:t>
      </w:r>
      <w:r w:rsidR="00D41FC7">
        <w:rPr>
          <w:b/>
          <w:sz w:val="28"/>
          <w:u w:val="single"/>
        </w:rPr>
        <w:t>2</w:t>
      </w:r>
      <w:r w:rsidR="00636508">
        <w:rPr>
          <w:b/>
          <w:sz w:val="28"/>
          <w:u w:val="single"/>
        </w:rPr>
        <w:t xml:space="preserve"> </w:t>
      </w:r>
      <w:r w:rsidR="00D41FC7">
        <w:rPr>
          <w:b/>
          <w:sz w:val="28"/>
          <w:u w:val="single"/>
        </w:rPr>
        <w:t>Friction</w:t>
      </w:r>
    </w:p>
    <w:p w:rsidR="005E256A" w:rsidRDefault="005E256A" w:rsidP="005E256A"/>
    <w:p w:rsidR="002F1939" w:rsidRDefault="00767B14" w:rsidP="00944D1E">
      <w:pPr>
        <w:pStyle w:val="ListParagraph"/>
        <w:numPr>
          <w:ilvl w:val="0"/>
          <w:numId w:val="1"/>
        </w:numPr>
      </w:pPr>
      <w:r>
        <w:rPr>
          <w:b/>
        </w:rPr>
        <w:t>Static vs. kinetic friction</w:t>
      </w:r>
    </w:p>
    <w:p w:rsidR="00BE70E8" w:rsidRDefault="00BE70E8" w:rsidP="002F1939">
      <w:pPr>
        <w:rPr>
          <w:sz w:val="1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515"/>
        <w:gridCol w:w="6767"/>
      </w:tblGrid>
      <w:tr w:rsidR="00BE70E8" w:rsidTr="000F34CB">
        <w:tc>
          <w:tcPr>
            <w:tcW w:w="2515" w:type="dxa"/>
            <w:vAlign w:val="center"/>
          </w:tcPr>
          <w:p w:rsidR="00BE70E8" w:rsidRDefault="00BE70E8" w:rsidP="000F34CB">
            <w:r>
              <w:t>Static friction:</w:t>
            </w:r>
          </w:p>
        </w:tc>
        <w:tc>
          <w:tcPr>
            <w:tcW w:w="6767" w:type="dxa"/>
            <w:vAlign w:val="center"/>
          </w:tcPr>
          <w:p w:rsidR="00BE70E8" w:rsidRDefault="00BE70E8" w:rsidP="000F34CB">
            <w:pPr>
              <w:rPr>
                <w:sz w:val="36"/>
              </w:rPr>
            </w:pPr>
          </w:p>
          <w:p w:rsidR="00576D49" w:rsidRDefault="00576D49" w:rsidP="000F34CB">
            <w:pPr>
              <w:rPr>
                <w:sz w:val="36"/>
              </w:rPr>
            </w:pPr>
          </w:p>
          <w:p w:rsidR="00576D49" w:rsidRDefault="00576D49" w:rsidP="000F34CB">
            <w:pPr>
              <w:rPr>
                <w:sz w:val="36"/>
              </w:rPr>
            </w:pPr>
          </w:p>
          <w:p w:rsidR="00576D49" w:rsidRPr="00BE70E8" w:rsidRDefault="00576D49" w:rsidP="000F34CB">
            <w:pPr>
              <w:rPr>
                <w:sz w:val="36"/>
              </w:rPr>
            </w:pPr>
          </w:p>
        </w:tc>
      </w:tr>
      <w:tr w:rsidR="00BE70E8" w:rsidTr="000F34CB">
        <w:tc>
          <w:tcPr>
            <w:tcW w:w="2515" w:type="dxa"/>
            <w:vAlign w:val="center"/>
          </w:tcPr>
          <w:p w:rsidR="00BE70E8" w:rsidRDefault="00BE70E8" w:rsidP="00BE70E8">
            <w:r>
              <w:t>Kinetic friction:</w:t>
            </w:r>
          </w:p>
        </w:tc>
        <w:tc>
          <w:tcPr>
            <w:tcW w:w="6767" w:type="dxa"/>
            <w:vAlign w:val="center"/>
          </w:tcPr>
          <w:p w:rsidR="00BE70E8" w:rsidRDefault="00BE70E8" w:rsidP="00BE70E8">
            <w:pPr>
              <w:rPr>
                <w:sz w:val="36"/>
              </w:rPr>
            </w:pPr>
          </w:p>
          <w:p w:rsidR="00576D49" w:rsidRPr="00BE70E8" w:rsidRDefault="00576D49" w:rsidP="00BE70E8">
            <w:pPr>
              <w:rPr>
                <w:sz w:val="36"/>
              </w:rPr>
            </w:pPr>
          </w:p>
        </w:tc>
      </w:tr>
    </w:tbl>
    <w:p w:rsidR="00BE70E8" w:rsidRDefault="00BE70E8" w:rsidP="002F1939"/>
    <w:p w:rsidR="00767B14" w:rsidRDefault="00FF055D" w:rsidP="002F1939">
      <w:r w:rsidRPr="00767B14">
        <w:rPr>
          <w:noProof/>
          <w:lang w:eastAsia="en-CA"/>
        </w:rPr>
        <w:drawing>
          <wp:anchor distT="0" distB="0" distL="114300" distR="114300" simplePos="0" relativeHeight="251658240" behindDoc="0" locked="0" layoutInCell="1" allowOverlap="1" wp14:anchorId="01F7C45F" wp14:editId="19351109">
            <wp:simplePos x="0" y="0"/>
            <wp:positionH relativeFrom="margin">
              <wp:posOffset>2331085</wp:posOffset>
            </wp:positionH>
            <wp:positionV relativeFrom="paragraph">
              <wp:posOffset>6350</wp:posOffset>
            </wp:positionV>
            <wp:extent cx="2361565" cy="1533525"/>
            <wp:effectExtent l="0" t="0" r="0" b="9525"/>
            <wp:wrapSquare wrapText="bothSides"/>
            <wp:docPr id="2" name="Picture 2" descr="C:\Users\ekoopmans\Desktop\~Fieldstone KCS\Daily\2014-10-24\SPH3U\src\ax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koopmans\Desktop\~Fieldstone KCS\Daily\2014-10-24\SPH3U\src\axes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156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67B14">
        <w:t>Friction vs. the applied force:</w:t>
      </w:r>
    </w:p>
    <w:p w:rsidR="00767B14" w:rsidRPr="00767B14" w:rsidRDefault="00767B14" w:rsidP="002F1939">
      <w:pPr>
        <w:rPr>
          <w:sz w:val="12"/>
        </w:rPr>
      </w:pPr>
    </w:p>
    <w:p w:rsidR="00767B14" w:rsidRDefault="00767B14" w:rsidP="00767B14">
      <w:pPr>
        <w:jc w:val="center"/>
      </w:pPr>
    </w:p>
    <w:p w:rsidR="008304E0" w:rsidRDefault="008304E0">
      <w:pPr>
        <w:rPr>
          <w:b/>
        </w:rPr>
      </w:pPr>
    </w:p>
    <w:p w:rsidR="00FF055D" w:rsidRDefault="00FF055D">
      <w:pPr>
        <w:rPr>
          <w:b/>
        </w:rPr>
      </w:pPr>
    </w:p>
    <w:p w:rsidR="00FF055D" w:rsidRDefault="00FF055D">
      <w:pPr>
        <w:rPr>
          <w:b/>
        </w:rPr>
      </w:pPr>
    </w:p>
    <w:p w:rsidR="00FF055D" w:rsidRDefault="00FF055D">
      <w:pPr>
        <w:rPr>
          <w:b/>
        </w:rPr>
      </w:pPr>
    </w:p>
    <w:p w:rsidR="00FF055D" w:rsidRDefault="00FF055D">
      <w:pPr>
        <w:rPr>
          <w:b/>
        </w:rPr>
      </w:pPr>
    </w:p>
    <w:p w:rsidR="00FF055D" w:rsidRDefault="00FF055D">
      <w:pPr>
        <w:rPr>
          <w:b/>
        </w:rPr>
      </w:pPr>
    </w:p>
    <w:p w:rsidR="00FF055D" w:rsidRDefault="00FF055D">
      <w:pPr>
        <w:rPr>
          <w:b/>
        </w:rPr>
      </w:pPr>
    </w:p>
    <w:p w:rsidR="002F1939" w:rsidRDefault="00767B14" w:rsidP="005E256A">
      <w:pPr>
        <w:pStyle w:val="ListParagraph"/>
        <w:numPr>
          <w:ilvl w:val="0"/>
          <w:numId w:val="1"/>
        </w:numPr>
      </w:pPr>
      <w:r>
        <w:rPr>
          <w:b/>
        </w:rPr>
        <w:t>Coefficients of friction</w:t>
      </w:r>
    </w:p>
    <w:p w:rsidR="00FF055D" w:rsidRDefault="00FF055D" w:rsidP="00FF055D">
      <w:pPr>
        <w:rPr>
          <w:sz w:val="1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515"/>
        <w:gridCol w:w="6767"/>
      </w:tblGrid>
      <w:tr w:rsidR="00FF055D" w:rsidTr="000F34CB">
        <w:tc>
          <w:tcPr>
            <w:tcW w:w="2515" w:type="dxa"/>
            <w:vAlign w:val="center"/>
          </w:tcPr>
          <w:p w:rsidR="00FF055D" w:rsidRDefault="00FF055D" w:rsidP="000F34CB">
            <w:r>
              <w:t>Frictional force depends on:</w:t>
            </w:r>
          </w:p>
        </w:tc>
        <w:tc>
          <w:tcPr>
            <w:tcW w:w="6767" w:type="dxa"/>
            <w:vAlign w:val="center"/>
          </w:tcPr>
          <w:p w:rsidR="00FF055D" w:rsidRDefault="00FF055D" w:rsidP="000F34CB">
            <w:pPr>
              <w:rPr>
                <w:sz w:val="36"/>
              </w:rPr>
            </w:pPr>
          </w:p>
          <w:p w:rsidR="00FF055D" w:rsidRPr="00BE70E8" w:rsidRDefault="00FF055D" w:rsidP="000F34CB">
            <w:pPr>
              <w:rPr>
                <w:sz w:val="36"/>
              </w:rPr>
            </w:pPr>
          </w:p>
        </w:tc>
      </w:tr>
      <w:tr w:rsidR="00FF055D" w:rsidTr="000F34CB">
        <w:tc>
          <w:tcPr>
            <w:tcW w:w="2515" w:type="dxa"/>
            <w:vAlign w:val="center"/>
          </w:tcPr>
          <w:p w:rsidR="00FF055D" w:rsidRDefault="00FF055D" w:rsidP="00FF055D">
            <w:pPr>
              <w:ind w:left="337"/>
            </w:pPr>
            <w:r>
              <w:t>coefficients of friction</w:t>
            </w:r>
          </w:p>
        </w:tc>
        <w:tc>
          <w:tcPr>
            <w:tcW w:w="6767" w:type="dxa"/>
            <w:vAlign w:val="center"/>
          </w:tcPr>
          <w:p w:rsidR="00FF055D" w:rsidRDefault="00FF055D" w:rsidP="000F34CB">
            <w:pPr>
              <w:rPr>
                <w:sz w:val="36"/>
              </w:rPr>
            </w:pPr>
          </w:p>
          <w:p w:rsidR="00FF055D" w:rsidRDefault="00FF055D" w:rsidP="000F34CB">
            <w:pPr>
              <w:rPr>
                <w:sz w:val="36"/>
              </w:rPr>
            </w:pPr>
          </w:p>
        </w:tc>
      </w:tr>
    </w:tbl>
    <w:p w:rsidR="00FF055D" w:rsidRDefault="00FF055D"/>
    <w:p w:rsidR="00767B14" w:rsidRDefault="008C0EC7" w:rsidP="005E256A">
      <w:r>
        <w:t>Some approximate coefficients of kinetic and static friction:</w:t>
      </w:r>
    </w:p>
    <w:p w:rsidR="00541A7D" w:rsidRPr="008C0EC7" w:rsidRDefault="00541A7D" w:rsidP="005E256A">
      <w:pPr>
        <w:rPr>
          <w:sz w:val="12"/>
        </w:rPr>
      </w:pPr>
    </w:p>
    <w:tbl>
      <w:tblPr>
        <w:tblStyle w:val="TableGrid"/>
        <w:tblW w:w="0" w:type="auto"/>
        <w:tblLook w:val="04A0" w:firstRow="1" w:lastRow="0" w:firstColumn="1" w:lastColumn="0" w:noHBand="0" w:noVBand="1"/>
      </w:tblPr>
      <w:tblGrid>
        <w:gridCol w:w="3775"/>
        <w:gridCol w:w="2787"/>
        <w:gridCol w:w="2788"/>
      </w:tblGrid>
      <w:tr w:rsidR="008C0EC7" w:rsidRPr="00A13C97" w:rsidTr="008C0EC7">
        <w:tc>
          <w:tcPr>
            <w:tcW w:w="3775" w:type="dxa"/>
            <w:shd w:val="clear" w:color="auto" w:fill="D9D9D9" w:themeFill="background1" w:themeFillShade="D9"/>
          </w:tcPr>
          <w:p w:rsidR="008C0EC7" w:rsidRPr="00A13C97" w:rsidRDefault="008C0EC7" w:rsidP="001B5992">
            <w:pPr>
              <w:jc w:val="center"/>
              <w:rPr>
                <w:b/>
              </w:rPr>
            </w:pPr>
            <w:r>
              <w:rPr>
                <w:b/>
              </w:rPr>
              <w:t>Material</w:t>
            </w:r>
          </w:p>
        </w:tc>
        <w:tc>
          <w:tcPr>
            <w:tcW w:w="2787" w:type="dxa"/>
            <w:shd w:val="clear" w:color="auto" w:fill="D9D9D9" w:themeFill="background1" w:themeFillShade="D9"/>
          </w:tcPr>
          <w:p w:rsidR="008C0EC7" w:rsidRPr="008C0EC7" w:rsidRDefault="008C0EC7" w:rsidP="001B5992">
            <w:pPr>
              <w:jc w:val="center"/>
              <w:rPr>
                <w:b/>
                <w:vertAlign w:val="subscript"/>
              </w:rPr>
            </w:pPr>
            <w:proofErr w:type="spellStart"/>
            <w:r>
              <w:rPr>
                <w:b/>
              </w:rPr>
              <w:t>μ</w:t>
            </w:r>
            <w:r>
              <w:rPr>
                <w:b/>
                <w:vertAlign w:val="subscript"/>
              </w:rPr>
              <w:t>S</w:t>
            </w:r>
            <w:proofErr w:type="spellEnd"/>
          </w:p>
        </w:tc>
        <w:tc>
          <w:tcPr>
            <w:tcW w:w="2788" w:type="dxa"/>
            <w:shd w:val="clear" w:color="auto" w:fill="D9D9D9" w:themeFill="background1" w:themeFillShade="D9"/>
          </w:tcPr>
          <w:p w:rsidR="008C0EC7" w:rsidRPr="00A13C97" w:rsidRDefault="008C0EC7" w:rsidP="001B5992">
            <w:pPr>
              <w:jc w:val="center"/>
              <w:rPr>
                <w:b/>
              </w:rPr>
            </w:pPr>
            <w:proofErr w:type="spellStart"/>
            <w:r>
              <w:rPr>
                <w:b/>
              </w:rPr>
              <w:t>μ</w:t>
            </w:r>
            <w:r>
              <w:rPr>
                <w:b/>
                <w:vertAlign w:val="subscript"/>
              </w:rPr>
              <w:t>K</w:t>
            </w:r>
            <w:proofErr w:type="spellEnd"/>
          </w:p>
        </w:tc>
      </w:tr>
      <w:tr w:rsidR="008C0EC7" w:rsidTr="008C0EC7">
        <w:trPr>
          <w:trHeight w:val="432"/>
        </w:trPr>
        <w:tc>
          <w:tcPr>
            <w:tcW w:w="3775" w:type="dxa"/>
            <w:vAlign w:val="center"/>
          </w:tcPr>
          <w:p w:rsidR="008C0EC7" w:rsidRPr="0014049A" w:rsidRDefault="008C0EC7" w:rsidP="001B5992">
            <w:r>
              <w:t>rubber on asphalt (dry)</w:t>
            </w:r>
          </w:p>
        </w:tc>
        <w:tc>
          <w:tcPr>
            <w:tcW w:w="2787" w:type="dxa"/>
            <w:vAlign w:val="center"/>
          </w:tcPr>
          <w:p w:rsidR="008C0EC7" w:rsidRDefault="008C0EC7" w:rsidP="001B5992">
            <w:pPr>
              <w:jc w:val="center"/>
            </w:pPr>
          </w:p>
        </w:tc>
        <w:tc>
          <w:tcPr>
            <w:tcW w:w="2788" w:type="dxa"/>
            <w:vAlign w:val="center"/>
          </w:tcPr>
          <w:p w:rsidR="008C0EC7" w:rsidRDefault="00C93694" w:rsidP="001B5992">
            <w:pPr>
              <w:jc w:val="center"/>
            </w:pPr>
            <w:r>
              <w:t>0.5–0.80</w:t>
            </w:r>
          </w:p>
        </w:tc>
      </w:tr>
      <w:tr w:rsidR="008C0EC7" w:rsidTr="008C0EC7">
        <w:trPr>
          <w:trHeight w:val="432"/>
        </w:trPr>
        <w:tc>
          <w:tcPr>
            <w:tcW w:w="3775" w:type="dxa"/>
            <w:vAlign w:val="center"/>
          </w:tcPr>
          <w:p w:rsidR="008C0EC7" w:rsidRPr="0014049A" w:rsidRDefault="008C0EC7" w:rsidP="008C0EC7">
            <w:r>
              <w:t>rubber on asphalt (wet)</w:t>
            </w:r>
          </w:p>
        </w:tc>
        <w:tc>
          <w:tcPr>
            <w:tcW w:w="2787" w:type="dxa"/>
            <w:vAlign w:val="center"/>
          </w:tcPr>
          <w:p w:rsidR="008C0EC7" w:rsidRDefault="008C0EC7" w:rsidP="001B5992">
            <w:pPr>
              <w:jc w:val="center"/>
            </w:pPr>
          </w:p>
        </w:tc>
        <w:tc>
          <w:tcPr>
            <w:tcW w:w="2788" w:type="dxa"/>
            <w:vAlign w:val="center"/>
          </w:tcPr>
          <w:p w:rsidR="008C0EC7" w:rsidRDefault="00C93694" w:rsidP="001B5992">
            <w:pPr>
              <w:jc w:val="center"/>
            </w:pPr>
            <w:r>
              <w:t>0.25–0.75</w:t>
            </w:r>
          </w:p>
        </w:tc>
      </w:tr>
      <w:tr w:rsidR="008C0EC7" w:rsidTr="008C0EC7">
        <w:trPr>
          <w:trHeight w:val="432"/>
        </w:trPr>
        <w:tc>
          <w:tcPr>
            <w:tcW w:w="3775" w:type="dxa"/>
            <w:vAlign w:val="center"/>
          </w:tcPr>
          <w:p w:rsidR="008C0EC7" w:rsidRDefault="008C0EC7" w:rsidP="008C0EC7">
            <w:r>
              <w:t>steel on steel (dry)</w:t>
            </w:r>
          </w:p>
        </w:tc>
        <w:tc>
          <w:tcPr>
            <w:tcW w:w="2787" w:type="dxa"/>
            <w:vAlign w:val="center"/>
          </w:tcPr>
          <w:p w:rsidR="008C0EC7" w:rsidRDefault="00C93694" w:rsidP="001B5992">
            <w:pPr>
              <w:jc w:val="center"/>
            </w:pPr>
            <w:r>
              <w:t>0.78</w:t>
            </w:r>
          </w:p>
        </w:tc>
        <w:tc>
          <w:tcPr>
            <w:tcW w:w="2788" w:type="dxa"/>
            <w:vAlign w:val="center"/>
          </w:tcPr>
          <w:p w:rsidR="008C0EC7" w:rsidRDefault="00C93694" w:rsidP="001B5992">
            <w:pPr>
              <w:jc w:val="center"/>
            </w:pPr>
            <w:r>
              <w:t>0.42</w:t>
            </w:r>
          </w:p>
        </w:tc>
      </w:tr>
      <w:tr w:rsidR="008C0EC7" w:rsidTr="008C0EC7">
        <w:trPr>
          <w:trHeight w:val="432"/>
        </w:trPr>
        <w:tc>
          <w:tcPr>
            <w:tcW w:w="3775" w:type="dxa"/>
            <w:vAlign w:val="center"/>
          </w:tcPr>
          <w:p w:rsidR="008C0EC7" w:rsidRDefault="008C0EC7" w:rsidP="008C0EC7">
            <w:r>
              <w:t>steel on steel (greasy)</w:t>
            </w:r>
          </w:p>
        </w:tc>
        <w:tc>
          <w:tcPr>
            <w:tcW w:w="2787" w:type="dxa"/>
            <w:vAlign w:val="center"/>
          </w:tcPr>
          <w:p w:rsidR="008C0EC7" w:rsidRDefault="00C93694" w:rsidP="001B5992">
            <w:pPr>
              <w:jc w:val="center"/>
            </w:pPr>
            <w:r>
              <w:t>0.05–0.11</w:t>
            </w:r>
          </w:p>
        </w:tc>
        <w:tc>
          <w:tcPr>
            <w:tcW w:w="2788" w:type="dxa"/>
            <w:vAlign w:val="center"/>
          </w:tcPr>
          <w:p w:rsidR="008C0EC7" w:rsidRDefault="00C93694" w:rsidP="001B5992">
            <w:pPr>
              <w:jc w:val="center"/>
            </w:pPr>
            <w:r>
              <w:t>0.029–0.12</w:t>
            </w:r>
          </w:p>
        </w:tc>
      </w:tr>
      <w:tr w:rsidR="008C0EC7" w:rsidTr="008C0EC7">
        <w:trPr>
          <w:trHeight w:val="432"/>
        </w:trPr>
        <w:tc>
          <w:tcPr>
            <w:tcW w:w="3775" w:type="dxa"/>
            <w:vAlign w:val="center"/>
          </w:tcPr>
          <w:p w:rsidR="008C0EC7" w:rsidRDefault="008C0EC7" w:rsidP="008C0EC7">
            <w:r>
              <w:t>ice on ice</w:t>
            </w:r>
          </w:p>
        </w:tc>
        <w:tc>
          <w:tcPr>
            <w:tcW w:w="2787" w:type="dxa"/>
            <w:vAlign w:val="center"/>
          </w:tcPr>
          <w:p w:rsidR="008C0EC7" w:rsidRDefault="00C93694" w:rsidP="001B5992">
            <w:pPr>
              <w:jc w:val="center"/>
            </w:pPr>
            <w:r>
              <w:t>0.1</w:t>
            </w:r>
          </w:p>
        </w:tc>
        <w:tc>
          <w:tcPr>
            <w:tcW w:w="2788" w:type="dxa"/>
            <w:vAlign w:val="center"/>
          </w:tcPr>
          <w:p w:rsidR="008C0EC7" w:rsidRDefault="00C93694" w:rsidP="001B5992">
            <w:pPr>
              <w:jc w:val="center"/>
            </w:pPr>
            <w:r>
              <w:t>0.03</w:t>
            </w:r>
          </w:p>
        </w:tc>
      </w:tr>
      <w:tr w:rsidR="008C0EC7" w:rsidTr="008C0EC7">
        <w:trPr>
          <w:trHeight w:val="432"/>
        </w:trPr>
        <w:tc>
          <w:tcPr>
            <w:tcW w:w="3775" w:type="dxa"/>
            <w:vAlign w:val="center"/>
          </w:tcPr>
          <w:p w:rsidR="008C0EC7" w:rsidRDefault="008C0EC7" w:rsidP="008C0EC7">
            <w:r>
              <w:t>steel on ice</w:t>
            </w:r>
          </w:p>
        </w:tc>
        <w:tc>
          <w:tcPr>
            <w:tcW w:w="2787" w:type="dxa"/>
            <w:vAlign w:val="center"/>
          </w:tcPr>
          <w:p w:rsidR="008C0EC7" w:rsidRDefault="00C93694" w:rsidP="001B5992">
            <w:pPr>
              <w:jc w:val="center"/>
            </w:pPr>
            <w:r>
              <w:t>0.1</w:t>
            </w:r>
          </w:p>
        </w:tc>
        <w:tc>
          <w:tcPr>
            <w:tcW w:w="2788" w:type="dxa"/>
            <w:vAlign w:val="center"/>
          </w:tcPr>
          <w:p w:rsidR="008C0EC7" w:rsidRDefault="00C93694" w:rsidP="001B5992">
            <w:pPr>
              <w:jc w:val="center"/>
            </w:pPr>
            <w:r>
              <w:t>0.01</w:t>
            </w:r>
          </w:p>
        </w:tc>
      </w:tr>
      <w:tr w:rsidR="008C0EC7" w:rsidTr="008C0EC7">
        <w:trPr>
          <w:trHeight w:val="432"/>
        </w:trPr>
        <w:tc>
          <w:tcPr>
            <w:tcW w:w="3775" w:type="dxa"/>
            <w:vAlign w:val="center"/>
          </w:tcPr>
          <w:p w:rsidR="008C0EC7" w:rsidRDefault="008C0EC7" w:rsidP="008C0EC7">
            <w:r>
              <w:t>Teflon on Teflon</w:t>
            </w:r>
          </w:p>
        </w:tc>
        <w:tc>
          <w:tcPr>
            <w:tcW w:w="2787" w:type="dxa"/>
            <w:vAlign w:val="center"/>
          </w:tcPr>
          <w:p w:rsidR="008C0EC7" w:rsidRDefault="00C93694" w:rsidP="001B5992">
            <w:pPr>
              <w:jc w:val="center"/>
            </w:pPr>
            <w:r>
              <w:t>0.04</w:t>
            </w:r>
          </w:p>
        </w:tc>
        <w:tc>
          <w:tcPr>
            <w:tcW w:w="2788" w:type="dxa"/>
            <w:vAlign w:val="center"/>
          </w:tcPr>
          <w:p w:rsidR="008C0EC7" w:rsidRDefault="00C93694" w:rsidP="001B5992">
            <w:pPr>
              <w:jc w:val="center"/>
            </w:pPr>
            <w:r>
              <w:t>0.04</w:t>
            </w:r>
          </w:p>
        </w:tc>
      </w:tr>
      <w:tr w:rsidR="008C0EC7" w:rsidTr="008C0EC7">
        <w:trPr>
          <w:trHeight w:val="432"/>
        </w:trPr>
        <w:tc>
          <w:tcPr>
            <w:tcW w:w="3775" w:type="dxa"/>
            <w:vAlign w:val="center"/>
          </w:tcPr>
          <w:p w:rsidR="008C0EC7" w:rsidRDefault="008C0EC7" w:rsidP="008C0EC7">
            <w:r>
              <w:lastRenderedPageBreak/>
              <w:t>near-frictionless carbon</w:t>
            </w:r>
          </w:p>
        </w:tc>
        <w:tc>
          <w:tcPr>
            <w:tcW w:w="2787" w:type="dxa"/>
            <w:vAlign w:val="center"/>
          </w:tcPr>
          <w:p w:rsidR="008C0EC7" w:rsidRDefault="008C0EC7" w:rsidP="001B5992">
            <w:pPr>
              <w:jc w:val="center"/>
            </w:pPr>
          </w:p>
        </w:tc>
        <w:tc>
          <w:tcPr>
            <w:tcW w:w="2788" w:type="dxa"/>
            <w:vAlign w:val="center"/>
          </w:tcPr>
          <w:p w:rsidR="008C0EC7" w:rsidRDefault="00C93694" w:rsidP="001B5992">
            <w:pPr>
              <w:jc w:val="center"/>
            </w:pPr>
            <w:r>
              <w:t>0.001</w:t>
            </w:r>
          </w:p>
        </w:tc>
      </w:tr>
      <w:tr w:rsidR="008C0EC7" w:rsidTr="008C0EC7">
        <w:trPr>
          <w:trHeight w:val="432"/>
        </w:trPr>
        <w:tc>
          <w:tcPr>
            <w:tcW w:w="3775" w:type="dxa"/>
            <w:vAlign w:val="center"/>
          </w:tcPr>
          <w:p w:rsidR="008C0EC7" w:rsidRDefault="008C0EC7" w:rsidP="008C0EC7">
            <w:r>
              <w:t>synovial joints in humans</w:t>
            </w:r>
          </w:p>
        </w:tc>
        <w:tc>
          <w:tcPr>
            <w:tcW w:w="2787" w:type="dxa"/>
            <w:vAlign w:val="center"/>
          </w:tcPr>
          <w:p w:rsidR="008C0EC7" w:rsidRDefault="00C93694" w:rsidP="001B5992">
            <w:pPr>
              <w:jc w:val="center"/>
            </w:pPr>
            <w:r>
              <w:t>0.01</w:t>
            </w:r>
          </w:p>
        </w:tc>
        <w:tc>
          <w:tcPr>
            <w:tcW w:w="2788" w:type="dxa"/>
            <w:vAlign w:val="center"/>
          </w:tcPr>
          <w:p w:rsidR="008C0EC7" w:rsidRDefault="00C93694" w:rsidP="001B5992">
            <w:pPr>
              <w:jc w:val="center"/>
            </w:pPr>
            <w:r>
              <w:t>0.003</w:t>
            </w:r>
          </w:p>
        </w:tc>
      </w:tr>
    </w:tbl>
    <w:p w:rsidR="008C0EC7" w:rsidRDefault="008C0EC7" w:rsidP="005E256A"/>
    <w:p w:rsidR="00D54849" w:rsidRDefault="008C0EC7" w:rsidP="00D54849">
      <w:pPr>
        <w:pStyle w:val="ListParagraph"/>
        <w:numPr>
          <w:ilvl w:val="0"/>
          <w:numId w:val="1"/>
        </w:numPr>
      </w:pPr>
      <w:r>
        <w:rPr>
          <w:b/>
        </w:rPr>
        <w:t>Determining the forces of friction</w:t>
      </w:r>
    </w:p>
    <w:p w:rsidR="00D54849" w:rsidRPr="00FF055D" w:rsidRDefault="00D54849" w:rsidP="00D54849">
      <w:pPr>
        <w:rPr>
          <w:sz w:val="12"/>
        </w:rPr>
      </w:pPr>
    </w:p>
    <w:p w:rsidR="008C0EC7" w:rsidRDefault="008C0EC7" w:rsidP="00D54849">
      <w:r>
        <w:t>A 3.0 kg block of wood sits on a horizontal wooden floor. The largest horizontal force that can be applied to the block before it will start moving is 14.7 N. Once the block starts moving, it only takes 8.8 N to keep it moving at a constant velocity.</w:t>
      </w:r>
    </w:p>
    <w:p w:rsidR="008C0EC7" w:rsidRPr="00FF055D" w:rsidRDefault="008C0EC7" w:rsidP="00D54849">
      <w:pPr>
        <w:rPr>
          <w:sz w:val="12"/>
        </w:rPr>
      </w:pPr>
    </w:p>
    <w:p w:rsidR="008C0EC7" w:rsidRDefault="008C0EC7" w:rsidP="00E239AE">
      <w:pPr>
        <w:pStyle w:val="ListParagraph"/>
        <w:numPr>
          <w:ilvl w:val="0"/>
          <w:numId w:val="7"/>
        </w:numPr>
      </w:pPr>
      <w:r>
        <w:t>Calculate the coefficient of static friction for the block and the floor.</w:t>
      </w:r>
    </w:p>
    <w:p w:rsidR="008C0EC7" w:rsidRDefault="008C0EC7" w:rsidP="00D54849"/>
    <w:p w:rsidR="008C0EC7" w:rsidRDefault="008C0EC7" w:rsidP="00D54849"/>
    <w:p w:rsidR="00CC5465" w:rsidRDefault="00CC5465" w:rsidP="00D54849"/>
    <w:p w:rsidR="008C0EC7" w:rsidRDefault="008C0EC7" w:rsidP="00D54849"/>
    <w:p w:rsidR="008C0EC7" w:rsidRDefault="008C0EC7" w:rsidP="00D54849"/>
    <w:p w:rsidR="008C0EC7" w:rsidRDefault="008C0EC7" w:rsidP="00D54849"/>
    <w:p w:rsidR="008C0EC7" w:rsidRDefault="008C0EC7" w:rsidP="00D54849"/>
    <w:p w:rsidR="008C0EC7" w:rsidRDefault="008C0EC7" w:rsidP="00E239AE">
      <w:pPr>
        <w:pStyle w:val="ListParagraph"/>
        <w:numPr>
          <w:ilvl w:val="0"/>
          <w:numId w:val="7"/>
        </w:numPr>
      </w:pPr>
      <w:r>
        <w:t>Determine the force of friction acting on the block if a horizontal force of 6.8 N [E] acts on the block.</w:t>
      </w:r>
    </w:p>
    <w:p w:rsidR="008C0EC7" w:rsidRDefault="008C0EC7" w:rsidP="008C0EC7"/>
    <w:p w:rsidR="008C0EC7" w:rsidRDefault="008C0EC7" w:rsidP="008C0EC7"/>
    <w:p w:rsidR="008C0EC7" w:rsidRDefault="008C0EC7" w:rsidP="008C0EC7"/>
    <w:p w:rsidR="008C0EC7" w:rsidRDefault="008C0EC7" w:rsidP="008C0EC7"/>
    <w:p w:rsidR="008C0EC7" w:rsidRDefault="008C0EC7" w:rsidP="008C0EC7"/>
    <w:p w:rsidR="008C0EC7" w:rsidRDefault="008C0EC7" w:rsidP="008C0EC7"/>
    <w:p w:rsidR="00CC5465" w:rsidRDefault="00CC5465" w:rsidP="008C0EC7"/>
    <w:p w:rsidR="008C0EC7" w:rsidRDefault="008C0EC7" w:rsidP="00E239AE">
      <w:pPr>
        <w:pStyle w:val="ListParagraph"/>
        <w:numPr>
          <w:ilvl w:val="0"/>
          <w:numId w:val="7"/>
        </w:numPr>
      </w:pPr>
      <w:r>
        <w:t>Calculate the maximum magnitude of static friction acting on the block if a 2.1 kg object is placed on top of it.</w:t>
      </w:r>
    </w:p>
    <w:p w:rsidR="008C0EC7" w:rsidRDefault="008C0EC7" w:rsidP="008C0EC7"/>
    <w:p w:rsidR="008C0EC7" w:rsidRDefault="008C0EC7" w:rsidP="008C0EC7"/>
    <w:p w:rsidR="008C0EC7" w:rsidRDefault="008C0EC7" w:rsidP="008C0EC7"/>
    <w:p w:rsidR="008C0EC7" w:rsidRDefault="008C0EC7" w:rsidP="008C0EC7"/>
    <w:p w:rsidR="00CC5465" w:rsidRDefault="00CC5465" w:rsidP="008C0EC7"/>
    <w:p w:rsidR="008C0EC7" w:rsidRDefault="008C0EC7" w:rsidP="008C0EC7"/>
    <w:p w:rsidR="008C0EC7" w:rsidRDefault="008C0EC7" w:rsidP="008C0EC7"/>
    <w:p w:rsidR="008C0EC7" w:rsidRDefault="008C0EC7" w:rsidP="00E239AE">
      <w:pPr>
        <w:pStyle w:val="ListParagraph"/>
        <w:numPr>
          <w:ilvl w:val="0"/>
          <w:numId w:val="7"/>
        </w:numPr>
      </w:pPr>
      <w:bookmarkStart w:id="0" w:name="_GoBack"/>
      <w:bookmarkEnd w:id="0"/>
      <w:r>
        <w:t>Determine the coefficient of kinetic friction.</w:t>
      </w:r>
    </w:p>
    <w:p w:rsidR="008C0EC7" w:rsidRDefault="008C0EC7" w:rsidP="008C0EC7"/>
    <w:p w:rsidR="008C0EC7" w:rsidRDefault="008C0EC7" w:rsidP="008C0EC7"/>
    <w:p w:rsidR="008C0EC7" w:rsidRDefault="008C0EC7" w:rsidP="008C0EC7"/>
    <w:p w:rsidR="008C0EC7" w:rsidRDefault="008C0EC7" w:rsidP="008C0EC7"/>
    <w:p w:rsidR="008C0EC7" w:rsidRDefault="008C0EC7" w:rsidP="008C0EC7"/>
    <w:p w:rsidR="008C0EC7" w:rsidRDefault="008C0EC7" w:rsidP="008C0EC7"/>
    <w:p w:rsidR="008C0EC7" w:rsidRDefault="008C0EC7" w:rsidP="008C0EC7"/>
    <w:p w:rsidR="008C0EC7" w:rsidRDefault="008C0EC7" w:rsidP="00D54849"/>
    <w:p w:rsidR="00BB5350" w:rsidRPr="00BB5350" w:rsidRDefault="00BB5350" w:rsidP="00C93694">
      <w:pPr>
        <w:tabs>
          <w:tab w:val="left" w:pos="2160"/>
          <w:tab w:val="left" w:pos="4320"/>
        </w:tabs>
        <w:rPr>
          <w:sz w:val="28"/>
        </w:rPr>
      </w:pPr>
      <w:r w:rsidRPr="00BB5350">
        <w:rPr>
          <w:b/>
          <w:sz w:val="28"/>
        </w:rPr>
        <w:t>Homework:</w:t>
      </w:r>
      <w:r w:rsidR="00872277">
        <w:rPr>
          <w:sz w:val="28"/>
        </w:rPr>
        <w:tab/>
        <w:t>page</w:t>
      </w:r>
      <w:r>
        <w:rPr>
          <w:sz w:val="28"/>
        </w:rPr>
        <w:t xml:space="preserve"> 1</w:t>
      </w:r>
      <w:r w:rsidR="00C93694">
        <w:rPr>
          <w:sz w:val="28"/>
        </w:rPr>
        <w:t>72:</w:t>
      </w:r>
      <w:r w:rsidR="00C93694">
        <w:rPr>
          <w:sz w:val="28"/>
        </w:rPr>
        <w:tab/>
        <w:t>#1-2, 4-5, 9, 11</w:t>
      </w:r>
    </w:p>
    <w:sectPr w:rsidR="00BB5350" w:rsidRPr="00BB5350" w:rsidSect="006579C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97E0E"/>
    <w:multiLevelType w:val="hybridMultilevel"/>
    <w:tmpl w:val="E31ADD3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8EC4898"/>
    <w:multiLevelType w:val="hybridMultilevel"/>
    <w:tmpl w:val="9F40E15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6D03AFC"/>
    <w:multiLevelType w:val="hybridMultilevel"/>
    <w:tmpl w:val="B72CCC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76331B2"/>
    <w:multiLevelType w:val="hybridMultilevel"/>
    <w:tmpl w:val="1DFE0E6E"/>
    <w:lvl w:ilvl="0" w:tplc="70D4FFA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40CA3472"/>
    <w:multiLevelType w:val="hybridMultilevel"/>
    <w:tmpl w:val="79AE73E4"/>
    <w:lvl w:ilvl="0" w:tplc="BAEC7BBC">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6285614B"/>
    <w:multiLevelType w:val="hybridMultilevel"/>
    <w:tmpl w:val="23001814"/>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53576C0"/>
    <w:multiLevelType w:val="hybridMultilevel"/>
    <w:tmpl w:val="E676C7F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56A"/>
    <w:rsid w:val="00014E49"/>
    <w:rsid w:val="00155128"/>
    <w:rsid w:val="00174CE8"/>
    <w:rsid w:val="001937D2"/>
    <w:rsid w:val="001A662F"/>
    <w:rsid w:val="00283E87"/>
    <w:rsid w:val="002E6451"/>
    <w:rsid w:val="002F1939"/>
    <w:rsid w:val="00355A64"/>
    <w:rsid w:val="003A1F42"/>
    <w:rsid w:val="003C25B0"/>
    <w:rsid w:val="005276C5"/>
    <w:rsid w:val="00541A7D"/>
    <w:rsid w:val="00560C19"/>
    <w:rsid w:val="00564A0C"/>
    <w:rsid w:val="00576D49"/>
    <w:rsid w:val="005E256A"/>
    <w:rsid w:val="006265D2"/>
    <w:rsid w:val="00636508"/>
    <w:rsid w:val="00643089"/>
    <w:rsid w:val="006579CD"/>
    <w:rsid w:val="00714248"/>
    <w:rsid w:val="00767B14"/>
    <w:rsid w:val="008304E0"/>
    <w:rsid w:val="00872277"/>
    <w:rsid w:val="008C0EC7"/>
    <w:rsid w:val="0092275A"/>
    <w:rsid w:val="00944D1E"/>
    <w:rsid w:val="009F6581"/>
    <w:rsid w:val="00A13C97"/>
    <w:rsid w:val="00AE2666"/>
    <w:rsid w:val="00BB5350"/>
    <w:rsid w:val="00BE70E8"/>
    <w:rsid w:val="00C8363A"/>
    <w:rsid w:val="00C93694"/>
    <w:rsid w:val="00CC5465"/>
    <w:rsid w:val="00D41FC7"/>
    <w:rsid w:val="00D54849"/>
    <w:rsid w:val="00D91976"/>
    <w:rsid w:val="00E239AE"/>
    <w:rsid w:val="00E272EF"/>
    <w:rsid w:val="00F341BC"/>
    <w:rsid w:val="00FB1C98"/>
    <w:rsid w:val="00FF05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98735-04A7-4E80-837F-79EF29CC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4D1E"/>
    <w:pPr>
      <w:ind w:left="720"/>
      <w:contextualSpacing/>
    </w:pPr>
  </w:style>
  <w:style w:type="character" w:customStyle="1" w:styleId="apple-converted-space">
    <w:name w:val="apple-converted-space"/>
    <w:basedOn w:val="DefaultParagraphFont"/>
    <w:rsid w:val="00E272EF"/>
  </w:style>
  <w:style w:type="character" w:styleId="Hyperlink">
    <w:name w:val="Hyperlink"/>
    <w:basedOn w:val="DefaultParagraphFont"/>
    <w:uiPriority w:val="99"/>
    <w:semiHidden/>
    <w:unhideWhenUsed/>
    <w:rsid w:val="00E272EF"/>
    <w:rPr>
      <w:color w:val="0000FF"/>
      <w:u w:val="single"/>
    </w:rPr>
  </w:style>
  <w:style w:type="character" w:styleId="PlaceholderText">
    <w:name w:val="Placeholder Text"/>
    <w:basedOn w:val="DefaultParagraphFont"/>
    <w:uiPriority w:val="99"/>
    <w:semiHidden/>
    <w:rsid w:val="00767B14"/>
    <w:rPr>
      <w:color w:val="808080"/>
    </w:rPr>
  </w:style>
  <w:style w:type="paragraph" w:styleId="BalloonText">
    <w:name w:val="Balloon Text"/>
    <w:basedOn w:val="Normal"/>
    <w:link w:val="BalloonTextChar"/>
    <w:uiPriority w:val="99"/>
    <w:semiHidden/>
    <w:unhideWhenUsed/>
    <w:rsid w:val="00E239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9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2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Koopmans</dc:creator>
  <cp:keywords/>
  <dc:description/>
  <cp:lastModifiedBy>Erik Koopmans</cp:lastModifiedBy>
  <cp:revision>17</cp:revision>
  <cp:lastPrinted>2015-03-27T14:55:00Z</cp:lastPrinted>
  <dcterms:created xsi:type="dcterms:W3CDTF">2014-10-16T02:26:00Z</dcterms:created>
  <dcterms:modified xsi:type="dcterms:W3CDTF">2015-03-27T14:57:00Z</dcterms:modified>
</cp:coreProperties>
</file>