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bidi/>
              <w:spacing w:before="0" w:after="60" w:line="288" w:lineRule="auto"/>
              <w:jc w:val="right"/>
            </w:pPr>
            <w:r>
              <w:rPr>
                <w:rFonts w:ascii="Arial" w:hAnsi="Arial"/>
                <w:b/>
                <w:color w:val="1D4ED8"/>
                <w:sz w:val="22"/>
                <w:rFonts w:ascii="Arial" w:hAnsi="Arial" w:cs="Arial"/>
                <w:rtl/>
              </w:rPr>
              <w:t>منصة الذكاء الاصطناعي للتنبؤ بمخاطر الاحتراق الوظيفي وحماية صحة الموظفين | وثيقة معتمدة</w:t>
            </w:r>
          </w:p>
          <w:p>
            <w:pPr>
              <w:bidi/>
              <w:spacing w:before="0" w:after="40" w:line="288" w:lineRule="auto"/>
              <w:jc w:val="right"/>
            </w:pPr>
            <w:r>
              <w:rPr>
                <w:rFonts w:ascii="Arial" w:hAnsi="Arial"/>
                <w:b/>
                <w:color w:val="FFFFFF"/>
                <w:sz w:val="40"/>
                <w:rFonts w:ascii="Arial" w:hAnsi="Arial" w:cs="Arial"/>
                <w:rtl/>
              </w:rPr>
              <w:t>بطاقة وصف البيانات — منصة توازن Tawazon (N = 1,000)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none"/>
              <w:bottom w:val="none"/>
              <w:right w:val="single" w:sz="36" w:space="0" w:color="047857"/>
            </w:tcBorders>
          </w:tcPr>
          <w:p>
            <w:pPr>
              <w:bidi/>
              <w:spacing w:before="0" w:after="60" w:line="288" w:lineRule="auto"/>
              <w:jc w:val="right"/>
            </w:pPr>
            <w:r>
              <w:rPr>
                <w:rFonts w:ascii="Arial" w:hAnsi="Arial"/>
                <w:b/>
                <w:color w:val="047857"/>
                <w:sz w:val="25"/>
                <w:rFonts w:ascii="Arial" w:hAnsi="Arial" w:cs="Arial"/>
                <w:rtl/>
              </w:rPr>
              <w:t>📌 ملخص سريع ومباشر للدكتورة ولجنة المناقشة</w:t>
              <w:br/>
            </w:r>
            <w:r>
              <w:rPr>
                <w:rFonts w:ascii="Arial" w:hAnsi="Arial"/>
                <w:b w:val="0"/>
                <w:color w:val="000000"/>
                <w:sz w:val="23"/>
                <w:rFonts w:ascii="Arial" w:hAnsi="Arial" w:cs="Arial"/>
                <w:rtl/>
              </w:rPr>
              <w:t>تعتمد منصة توازن على بيانات حقيقية تم سحبها من مسابقة كاجل العالمية (HackerEarth)، بحجم أولي 22,750 سجلاً. تم تطبيق مسار تنظيف كامل (Data Cleaning Pipeline) لإزالة 4,160 قيمة مفقودة و 5,948 صفاً مكرراً، ثم استخراج عينة ممثلة لـ 1,000 موظف بنسبة احتراق متوازنة (44.1%) مع الحفاظ على البيانات الديموغرافية (النوع والعمر) وربطها بأسماء عربية متوافقة تماماً. كما قمنا بدمج نصوص المشاعر لبناء نظام هجين متطور (Multi-Modal: 60% أرقام + 40% نصوص باللغتين العربية والإنجليزية).</w:t>
            </w:r>
          </w:p>
        </w:tc>
      </w:tr>
    </w:tbl>
    <w:p>
      <w:pPr>
        <w:spacing w:after="120"/>
      </w:pP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1. مصدر البيانات الأساسي (Kaggle Benchmark)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المسابقة المعتمدة: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HackerEarth ML Challenge — Are Your Employees Burning Out?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الرابط الرسمي على Kaggle: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kaggle.com/datasets/blurredmachine/are-your-employees-burning-out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حجم الداتا الخام: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22,750 موظفاً من شركات حقيقية (قطاع الخدمات وقطاع المنتجات)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المتغير التابع الأصلي: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معدل الإرهاق (Burn Rate) كنسبة مستمرة من 0.0 إلى 1.0</w:t>
      </w: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2. مراحل تنظيف البيانات (Data Cleaning Pipeline)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F172A"/>
          <w:left w:val="none"/>
          <w:bottom w:val="single" w:sz="14" w:space="0" w:color="1D4ED8"/>
          <w:right w:val="none"/>
          <w:insideH w:val="single" w:sz="4" w:space="0" w:color="94A3B8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المرحلة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العملية المنفذة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العدد قبل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العدد بعد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الهدف والنتيجة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1. الفحص الأولي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قراءة الداتا الخام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22,750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22,750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اكتشاف 4,622 قيمة مفقودة وتكرارات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2. حذف الهدف المفقود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حذف الصفوف الخالية من Burn Rate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22,750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21,626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لا يمكن تدريب نموذج بدون Ground Truth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3. حذف الميزات المفقودة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حذف القيم الفارغة في الإجهاد والموارد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21,626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18,590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تنظيف المتغيرات التنبؤية الأساسية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4. إزالة التكرارات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حذف الصفوف المتطابقة تماماً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18,590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12,642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منع انحياز النموذج للأنماط المكررة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5. سحب العينة الممثلة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Stratified Sampling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12,642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1,000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الحفاظ على نفس التوزيع الطبيعي لفئات الخطر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6. مواءمة المتغيرات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Feature Transformation &amp; Scaling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1,000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1,000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تحويل المقاييس لمؤشرات عمل واقعية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7. دمج طبقة النصوص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NLP Sentiment Enrichment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1,000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1,000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إسناد 45 نص فيدباك وتوليد أسماء ثلاثية</w:t>
            </w:r>
          </w:p>
        </w:tc>
      </w:tr>
    </w:tbl>
    <w:p>
      <w:pPr>
        <w:spacing w:after="120"/>
      </w:pP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3. قاموس البيانات النهائي (Data Dictionary - 12 عموداً)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F172A"/>
          <w:left w:val="none"/>
          <w:bottom w:val="single" w:sz="14" w:space="0" w:color="1D4ED8"/>
          <w:right w:val="none"/>
          <w:insideH w:val="single" w:sz="4" w:space="0" w:color="94A3B8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D4ED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اسم العمود</w:t>
            </w:r>
          </w:p>
        </w:tc>
        <w:tc>
          <w:tcPr>
            <w:tcW w:type="dxa" w:w="864"/>
            <w:shd w:fill="1D4ED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النوع</w:t>
            </w:r>
          </w:p>
        </w:tc>
        <w:tc>
          <w:tcPr>
            <w:tcW w:type="dxa" w:w="1728"/>
            <w:shd w:fill="1D4ED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المدى / القيم</w:t>
            </w:r>
          </w:p>
        </w:tc>
        <w:tc>
          <w:tcPr>
            <w:tcW w:type="dxa" w:w="1440"/>
            <w:shd w:fill="1D4ED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الدور الوظيفي</w:t>
            </w:r>
          </w:p>
        </w:tc>
        <w:tc>
          <w:tcPr>
            <w:tcW w:type="dxa" w:w="4032"/>
            <w:shd w:fill="1D4ED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الوصف والاشتقاق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employee_id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نصي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EMP0001 - EMP1000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معرّف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كود وظيفي فريد لكل موظف في المنصة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name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نصي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اسم ثلاثي/ثنائي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بيانات تعريفية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اسم الموظف بالإنجليزية متوافق مع الجنس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gender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نصي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Male / Female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ديموغرافي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الجنس محفوظ ومطابق مباشرة من كاجل (527 إناث / 473 ذكور)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age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صحيح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22 – 56 سنة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ديموغرافي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عمر الموظف مستنتج علمياً من المستوى الوظيفي والخبرة (متوسط 34.7)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avg_daily_hours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عشري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6.0 – 13.0 ساعة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مدخل (مؤشر)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ساعات العمل اليومية مشتقة من ضغط الموارد (RA)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overtime_hours_week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عشري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0.0 – 25.0 ساعة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مدخل (مؤشر)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ساعات العمل الإضافية الأسبوعية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absence_days_month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صحيح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 – 8 أيام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مدخل (مؤشر)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أيام الغياب غير المخطط شهرياً (مرتبطة بالإجهاد)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late_arrivals_month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صحيح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 – 15 مرة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مدخل (مؤشر)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عدد مرات التأخير عن الحضور شهرياً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tasks_assigned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صحيح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5 – 40 مهمة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مدخل (مؤشر)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حجم المهام والمسؤوليات المسندة شهرياً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vacation_days_last_year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صحيح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 – 25 يوم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عامل حماية (-)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رصيد الإجازات المستهلكة (علاقة عكسية مع الإرهاق)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feedback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نصي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نص عربي / إنجليزي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مدخل NLP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انطباع ورأي الموظف لتحليله بمحركات المشاعر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burnout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ثنائي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 أو 1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الهدف (Target)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 = مصاب باحتراق (Burn Rate &gt;= 0.50)، 0 = سليم</w:t>
            </w:r>
          </w:p>
        </w:tc>
      </w:tr>
    </w:tbl>
    <w:p>
      <w:pPr>
        <w:spacing w:after="120"/>
      </w:pP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4. الإحصائيات الوصفية الدقيقة لـ 1,000 موظف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F172A"/>
          <w:left w:val="none"/>
          <w:bottom w:val="single" w:sz="14" w:space="0" w:color="1D4ED8"/>
          <w:right w:val="none"/>
          <w:insideH w:val="single" w:sz="4" w:space="0" w:color="94A3B8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المتغير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المتوسط (Mean)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الانحراف (Std)</w:t>
            </w:r>
          </w:p>
        </w:tc>
        <w:tc>
          <w:tcPr>
            <w:tcW w:type="dxa" w:w="129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الحد الأدنى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الوسيط (50%)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  <w:rFonts w:ascii="Arial" w:hAnsi="Arial" w:cs="Arial"/>
                <w:rtl/>
              </w:rPr>
              <w:t>الحد الأقصى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العمر (سنوات)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34.66 سنة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6.59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22.00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34.00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56.00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ساعات العمل اليومية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8.83 ساعة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1.69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6.00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8.78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13.00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الساعات الإضافية (أسبوعياً)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12.85 ساعة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5.34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0.00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12.85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25.00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أيام الغياب شهرياً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4.61 يوم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2.04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5.00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8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مرات التأخير شهرياً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6.91 مرة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3.68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7.00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15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المهام المسندة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20.77 مهمة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8.18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5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20.00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40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  <w:rFonts w:ascii="Arial" w:hAnsi="Arial" w:cs="Arial"/>
                <w:rtl/>
              </w:rPr>
              <w:t>الإجازات المستهلكة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13.30 يوم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5.85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0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13.00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bidi/>
              <w:spacing w:before="0" w:after="0" w:line="288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  <w:rFonts w:ascii="Arial" w:hAnsi="Arial" w:cs="Arial"/>
                <w:rtl/>
              </w:rPr>
              <w:t>25</w:t>
            </w:r>
          </w:p>
        </w:tc>
      </w:tr>
    </w:tbl>
    <w:p>
      <w:pPr>
        <w:spacing w:after="120"/>
      </w:pP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توزيع الجنس (Gender):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527 إناث (52.7%) مقابل 473 ذكور (47.3%) — توازن ديموغرافي طبيعي ومطابق للواقع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توزيع فئة الهدف (Burnout):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559 موظف سليم (55.9%) مقابل 441 موظف في خطر (44.1%)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التوازن الإحصائي: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نسبة 1.27 : 1 تضمن تدريب نموذج الذكاء الاصطناعي دون الحاجة لتوليد زائف (SMOTE)</w:t>
      </w: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5. طبقة نصوص المشاعر (NLP Sentiment Layer)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المشاعر السلبية (Negative):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361 موظفاً (36.1%) — مثل: 'I feel completely exhausted and overwhelmed.'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المشاعر المحايدة (Neutral):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287 موظفاً (28.7%) — مثل: 'Work is fine, some days are tough but it is manageable.'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المشاعر الإيجابية (Positive):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352 موظفاً (35.2%) — مثل: 'I love my job and feel very motivated every day.'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دعم اللغتين العربية والإنجليزية: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تم تطوير محرك NLP عربي مخصص للتعامل مع المفردات المهنية وسياقات النفي بجانب DistilBERT الإنجليزي.</w:t>
      </w: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6. نتائج تقييم النموذج النهائي (Random Forest)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الدقة الإجمالية (Accuracy):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95.50% على بيانات الاختبار المستقلة (200 موظف)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مقياس الجودة (F1-Score):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0.95 (Precision: 93.4% | Recall: 96.6%)</w:t>
      </w:r>
    </w:p>
    <w:p>
      <w:pPr>
        <w:bidi/>
        <w:spacing w:before="40" w:after="80" w:line="288" w:lineRule="auto"/>
        <w:jc w:val="right"/>
      </w:pPr>
      <w:r>
        <w:rPr>
          <w:rFonts w:ascii="Arial" w:hAnsi="Arial"/>
          <w:b/>
          <w:color w:val="1D4ED8"/>
          <w:sz w:val="22"/>
          <w:rFonts w:ascii="Arial" w:hAnsi="Arial" w:cs="Arial"/>
          <w:rtl/>
        </w:rPr>
        <w:t xml:space="preserve">🔹 </w:t>
      </w:r>
      <w:r>
        <w:rPr>
          <w:rFonts w:ascii="Arial" w:hAnsi="Arial"/>
          <w:b/>
          <w:color w:val="0F172A"/>
          <w:sz w:val="25"/>
          <w:rFonts w:ascii="Arial" w:hAnsi="Arial" w:cs="Arial"/>
          <w:rtl/>
        </w:rPr>
        <w:t xml:space="preserve">أهم العوامل المؤثرة (SHAP): </w:t>
      </w:r>
      <w:r>
        <w:rPr>
          <w:rFonts w:ascii="Arial" w:hAnsi="Arial"/>
          <w:b w:val="0"/>
          <w:color w:val="000000"/>
          <w:sz w:val="24"/>
          <w:rFonts w:ascii="Arial" w:hAnsi="Arial" w:cs="Arial"/>
          <w:rtl/>
        </w:rPr>
        <w:t>الأوفرتايم (30.1%) ◀ الإجازات (22.9%) ◀ ساعات العمل اليومية (21.9%)</w:t>
      </w:r>
    </w:p>
    <w:p>
      <w:pPr>
        <w:keepNext/>
        <w:bidi/>
        <w:spacing w:before="280" w:after="120" w:line="288" w:lineRule="auto"/>
        <w:jc w:val="right"/>
      </w:pPr>
      <w:r>
        <w:rPr>
          <w:rFonts w:ascii="Arial" w:hAnsi="Arial"/>
          <w:b/>
          <w:color w:val="1D4ED8"/>
          <w:sz w:val="30"/>
          <w:rFonts w:ascii="Arial" w:hAnsi="Arial" w:cs="Arial"/>
          <w:rtl/>
        </w:rPr>
        <w:t>7. إجابات سريعة ومركزة لأسئلة المناقشة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none"/>
              <w:bottom w:val="none"/>
              <w:right w:val="single" w:sz="36" w:space="0" w:color="0F172A"/>
            </w:tcBorders>
          </w:tcPr>
          <w:p>
            <w:pPr>
              <w:bidi/>
              <w:spacing w:before="0" w:after="60" w:line="288" w:lineRule="auto"/>
              <w:jc w:val="right"/>
            </w:pPr>
            <w:r>
              <w:rPr>
                <w:rFonts w:ascii="Arial" w:hAnsi="Arial"/>
                <w:b/>
                <w:color w:val="1D4ED8"/>
                <w:sz w:val="25"/>
                <w:rFonts w:ascii="Arial" w:hAnsi="Arial" w:cs="Arial"/>
                <w:rtl/>
              </w:rPr>
              <w:t>س: لماذا لم تستخدموا داتا كاجل كما هي بدون تنظيف وتعديل؟</w:t>
              <w:br/>
            </w:r>
            <w:r>
              <w:rPr>
                <w:rFonts w:ascii="Arial" w:hAnsi="Arial"/>
                <w:b w:val="0"/>
                <w:color w:val="000000"/>
                <w:sz w:val="23"/>
                <w:rFonts w:ascii="Arial" w:hAnsi="Arial" w:cs="Arial"/>
                <w:rtl/>
              </w:rPr>
              <w:t>ج: لأن الداتا الخام بها 4,622 قيمة مفقودة و 5,948 سجلاً مكرراً، كما أنها تفتقر لنصوص المشاعر والعمر الصريح. بناء مسار التنظيف سمح لنا بإصلاح العيوب واستنتاج الأعمار ديموغرافياً وتجهيز نظام هجين متطور يجمع بين الأرقام ونصوص الـ NLP.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none"/>
              <w:bottom w:val="none"/>
              <w:right w:val="single" w:sz="36" w:space="0" w:color="1D4ED8"/>
            </w:tcBorders>
          </w:tcPr>
          <w:p>
            <w:pPr>
              <w:bidi/>
              <w:spacing w:before="0" w:after="60" w:line="288" w:lineRule="auto"/>
              <w:jc w:val="right"/>
            </w:pPr>
            <w:r>
              <w:rPr>
                <w:rFonts w:ascii="Arial" w:hAnsi="Arial"/>
                <w:b/>
                <w:color w:val="1D4ED8"/>
                <w:sz w:val="25"/>
                <w:rFonts w:ascii="Arial" w:hAnsi="Arial" w:cs="Arial"/>
                <w:rtl/>
              </w:rPr>
              <w:t>س: لماذا اخترتم حجم 1,000 موظف بالتحديد؟</w:t>
              <w:br/>
            </w:r>
            <w:r>
              <w:rPr>
                <w:rFonts w:ascii="Arial" w:hAnsi="Arial"/>
                <w:b w:val="0"/>
                <w:color w:val="000000"/>
                <w:sz w:val="23"/>
                <w:rFonts w:ascii="Arial" w:hAnsi="Arial" w:cs="Arial"/>
                <w:rtl/>
              </w:rPr>
              <w:t>ج: حجم 1,000 يمثل عينة مثالية لحجم شركة متوسطة إلى كبيرة (Enterprise Scale)، ويعطي استقراراً إحصائياً ممتازاً للموديل مع سرعة فائقة في استجابة قاعدة البيانات والواجهات في أقل من 200ms.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