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Codex revision</w:t>
      </w:r>
    </w:p>
    <w:p>
      <w:r>
        <w:rPr>
          <w:b w:val="0"/>
          <w:i w:val="0"/>
          <w:sz w:val="22"/>
        </w:rPr>
        <w:t>Version 1.3 Codex 1 · 21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b w:val="0"/>
          <w:i w:val="0"/>
          <w:sz w:val="20"/>
        </w:rPr>
        <w:t>*Correspondence: alberto.martin@utoronto.ca</w:t>
      </w:r>
    </w:p>
    <w:p>
      <w:pPr>
        <w:keepNext/>
        <w:spacing w:before="240"/>
      </w:pPr>
      <w:r>
        <w:rPr>
          <w:b/>
          <w:i w:val="0"/>
          <w:sz w:val="26"/>
        </w:rPr>
        <w:t>Summary</w:t>
      </w:r>
    </w:p>
    <w:p>
      <w:r>
        <w:rPr>
          <w:b w:val="0"/>
          <w:i w:val="0"/>
        </w:rP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measured false-discovery rates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What all platforms, however, share is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Existing SHM software summarises previously identified mutations</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but does not use matched AID-null controls to distinguish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delivered reads or Sanger chromatograms (</w:t>
      </w:r>
      <w:hyperlink w:anchor="fig_1" w:history="1">
        <w:r>
          <w:rPr>
            <w:b w:val="0"/>
            <w:i w:val="0"/>
            <w:color w:val="1F5FA8"/>
          </w:rPr>
          <w:t>Figures 1</w:t>
        </w:r>
      </w:hyperlink>
      <w:r>
        <w:rPr>
          <w:b w:val="0"/>
          <w:i w:val="0"/>
        </w:rPr>
        <w:t xml:space="preserve"> and </w:t>
      </w:r>
      <w:hyperlink w:anchor="fig_S1" w:history="1">
        <w:r>
          <w:rPr>
            <w:b w:val="0"/>
            <w:i w:val="0"/>
            <w:color w:val="1F5FA8"/>
          </w:rPr>
          <w:t>S1</w:t>
        </w:r>
      </w:hyperlink>
      <w:r>
        <w:rPr>
          <w:b w:val="0"/>
          <w:i w:val="0"/>
        </w:rPr>
        <w:t>). Read libraries undergo length and expected-error filtering</w:t>
      </w:r>
      <w:hyperlink w:anchor="ref_28" w:history="1">
        <w:r>
          <w:rPr>
            <w:i w:val="0"/>
            <w:color w:val="1F5FA8"/>
            <w:vertAlign w:val="superscript"/>
          </w:rPr>
          <w:t>28</w:t>
        </w:r>
      </w:hyperlink>
      <w:r>
        <w:rPr>
          <w:b w:val="0"/>
          <w:i w:val="0"/>
        </w:rPr>
        <w:t>, competitive alignment with minimap2</w:t>
      </w:r>
      <w:hyperlink w:anchor="ref_29" w:history="1">
        <w:r>
          <w:rPr>
            <w:i w:val="0"/>
            <w:color w:val="1F5FA8"/>
            <w:vertAlign w:val="superscript"/>
          </w:rPr>
          <w:t>29</w:t>
        </w:r>
      </w:hyperlink>
      <w:r>
        <w:rPr>
          <w:b w:val="0"/>
          <w:i w:val="0"/>
        </w:rPr>
        <w:t>, paralog checks and matched-depth sampling. Sanger traces are assigned through a sample sheet and quality-trimmed; UMI-tagged reads can be collapsed to molecular consensuses (STAR Methods).</w:t>
      </w:r>
    </w:p>
    <w:p>
      <w:r>
        <w:rPr>
          <w:b w:val="0"/>
          <w:i w:val="0"/>
        </w:rPr>
        <w:t>For each substitution, SHMtrace tests read support against control error rates stratified by substitution type, strand and quality, incorporating position-specific background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A leave-one-control-out margin adjusts underestimated error (</w:t>
      </w:r>
      <w:hyperlink w:anchor="fig_S2" w:history="1">
        <w:r>
          <w:rPr>
            <w:b w:val="0"/>
            <w:i w:val="0"/>
            <w:color w:val="1F5FA8"/>
          </w:rPr>
          <w:t>Figure S2</w:t>
        </w:r>
      </w:hyperlink>
      <w:r>
        <w:rPr>
          <w:b w:val="0"/>
          <w:i w:val="0"/>
        </w:rPr>
        <w:t>); held-out controls then set an empirical target–decoy threshold targeting 5% false discoveries</w:t>
      </w:r>
      <w:hyperlink w:anchor="ref_30" w:history="1">
        <w:r>
          <w:rPr>
            <w:i w:val="0"/>
            <w:color w:val="1F5FA8"/>
            <w:vertAlign w:val="superscript"/>
          </w:rPr>
          <w:t>30</w:t>
        </w:r>
      </w:hyperlink>
      <w:r>
        <w:rPr>
          <w:b w:val="0"/>
          <w:i w:val="0"/>
        </w:rPr>
        <w:t>. This estimate depends on representative controls and is not a general FDR guarantee. Data-dependent candidate selection motivates empirical calibration rather than assuming valid Benjamini–Hochberg p-values</w:t>
      </w:r>
      <w:hyperlink w:anchor="ref_31" w:history="1">
        <w:r>
          <w:rPr>
            <w:i w:val="0"/>
            <w:color w:val="1F5FA8"/>
            <w:vertAlign w:val="superscript"/>
          </w:rPr>
          <w:t>31</w:t>
        </w:r>
      </w:hyperlink>
      <w:r>
        <w:rPr>
          <w:b w:val="0"/>
          <w:i w:val="0"/>
        </w:rPr>
        <w:t>. Alleles in ≥50% of reads are excluded as likely germline or parental differences; genuine dominant-lineage mutations can also cross this heuristic threshold, and exclusions are reported.</w:t>
      </w:r>
    </w:p>
    <w:p>
      <w:r>
        <w:rPr>
          <w:b w:val="0"/>
          <w:i w:val="0"/>
        </w:rPr>
        <w:t>The read-library test can retain a candidate supported by a single read; repeated sequencing of the same original molecule is not required. SHMtrace uses a separate Sanger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count, reported separately without subtraction. The germline filter, window, automatic checks and animal-level comparisons are shared. The Sanger results below therefore test trace reading, counting, bookkeeping and group comparisons, not the control-calibrated test.</w:t>
      </w:r>
    </w:p>
    <w:p>
      <w:r>
        <w:rPr>
          <w:b w:val="0"/>
          <w:i w:val="0"/>
        </w:rPr>
        <w:t>Two C-to-T candidates in Sμ WT3 had similar qualities and support on both strands (</w:t>
      </w:r>
      <w:hyperlink w:anchor="fig_2" w:history="1">
        <w:r>
          <w:rPr>
            <w:b w:val="0"/>
            <w:i w:val="0"/>
            <w:color w:val="1F5FA8"/>
          </w:rPr>
          <w:t>Figure 2</w:t>
        </w:r>
      </w:hyperlink>
      <w:r>
        <w:rPr>
          <w:b w:val="0"/>
          <w:i w:val="0"/>
        </w:rPr>
        <w:t>). Position 165, in a WRC hotspot, lacked Q≥20 control support and was retained (p = 5 × 10</w:t>
      </w:r>
      <w:r>
        <w:rPr>
          <w:i w:val="0"/>
          <w:vertAlign w:val="superscript"/>
        </w:rPr>
        <w:t>−19</w:t>
      </w:r>
      <w:r>
        <w:rPr>
          <w:b w:val="0"/>
          <w:i w:val="0"/>
        </w:rPr>
        <w:t>); position 97 recurred in controls and was rejected (p = 1). Of 743 candidates, 88 met the threshold (p ≤ 0.009); the remainder were unresolved against background.</w:t>
      </w:r>
    </w:p>
    <w:p>
      <w:r>
        <w:rPr>
          <w:b w:val="0"/>
          <w:i w:val="0"/>
        </w:rPr>
        <w:t>Group comparisons use one value per biological replicate, with log-rate Welch, bootstrapped negative-binomial and permutation tests (</w:t>
      </w:r>
      <w:hyperlink w:anchor="fig_1" w:history="1">
        <w:r>
          <w:rPr>
            <w:b w:val="0"/>
            <w:i w:val="0"/>
            <w:color w:val="1F5FA8"/>
          </w:rPr>
          <w:t>Figure 1D</w:t>
        </w:r>
      </w:hyperlink>
      <w:r>
        <w:rPr>
          <w:b w:val="0"/>
          <w:i w:val="0"/>
        </w:rPr>
        <w:t>). Outputs include spectra, hotspot use, S5F targeting</w:t>
      </w:r>
      <w:hyperlink w:anchor="ref_23" w:history="1">
        <w:r>
          <w:rPr>
            <w:i w:val="0"/>
            <w:color w:val="1F5FA8"/>
            <w:vertAlign w:val="superscript"/>
          </w:rPr>
          <w:t>23</w:t>
        </w:r>
      </w:hyperlink>
      <w:r>
        <w:rPr>
          <w:b w:val="0"/>
          <w:i w:val="0"/>
        </w:rPr>
        <w:t>, clustering, aggregate single-read estimates, junction-defined clones, read-level trees and power estimates (</w:t>
      </w:r>
      <w:hyperlink w:anchor="fig_S3" w:history="1">
        <w:r>
          <w:rPr>
            <w:b w:val="0"/>
            <w:i w:val="0"/>
            <w:color w:val="1F5FA8"/>
          </w:rPr>
          <w:t>Figure S3</w:t>
        </w:r>
      </w:hyperlink>
      <w:r>
        <w:rPr>
          <w:b w:val="0"/>
          <w:i w:val="0"/>
        </w:rPr>
        <w:t>). Desktop and command-line interfaces share the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FDR 0.050). In contrast, Geneious recalled more single-read mutations (60% versus 31%) but produced 4.9 false calls per library (FDR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received peer controls as matched normals. Neither recovered planted events at defaults. Across 2,160 substitutions, permissive ClairS recovered none;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Recall improved at higher allele fractions (</w:t>
      </w:r>
      <w:hyperlink w:anchor="fig_3" w:history="1">
        <w:r>
          <w:rPr>
            <w:b w:val="0"/>
            <w:i w:val="0"/>
            <w:color w:val="1F5FA8"/>
          </w:rPr>
          <w:t>Figure 3C</w:t>
        </w:r>
      </w:hyperlink>
      <w:r>
        <w:rPr>
          <w:b w:val="0"/>
          <w:i w:val="0"/>
        </w:rPr>
        <w:t>), whereas 53% of 1,197 retained SHMtrace calls occurred in &lt;1% of reads (</w:t>
      </w:r>
      <w:hyperlink w:anchor="fig_2" w:history="1">
        <w:r>
          <w:rPr>
            <w:b w:val="0"/>
            <w:i w:val="0"/>
            <w:color w:val="1F5FA8"/>
          </w:rPr>
          <w:t>Figure 2E</w:t>
        </w:r>
      </w:hyperlink>
      <w:r>
        <w:rPr>
          <w:b w:val="0"/>
          <w:i w:val="0"/>
        </w:rPr>
        <w:t>).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(FDR 0.045; </w:t>
      </w:r>
      <w:hyperlink w:anchor="fig_3" w:history="1">
        <w:r>
          <w:rPr>
            <w:b w:val="0"/>
            <w:i w:val="0"/>
            <w:color w:val="1F5FA8"/>
          </w:rPr>
          <w:t>Figure 3B</w:t>
        </w:r>
      </w:hyperlink>
      <w:r>
        <w:rPr>
          <w:b w:val="0"/>
          <w:i w:val="0"/>
        </w:rPr>
        <w:t xml:space="preserve">). Geneious recalled 88% with 2.8 false calls (FDR 0.050); LoFreq without base-alignment quality recalled 34%. On external Sμ and </w:t>
      </w:r>
      <w:r>
        <w:rPr>
          <w:i/>
        </w:rPr>
        <w:t>Pim1</w:t>
      </w:r>
      <w:r>
        <w:rPr>
          <w:b w:val="0"/>
          <w:i w:val="0"/>
        </w:rPr>
        <w:t xml:space="preserve"> controls at 2,000 reads, SHMtrace recalled 63% and 72% at FDR 0.055 and 0.035. Geneious recalled 59% and 64% at FDR 0.114 and 0.050; LoFreq recalled 0–26%, with permissive FDR 0.27–0.52 (</w:t>
      </w:r>
      <w:hyperlink w:anchor="fig_3" w:history="1">
        <w:r>
          <w:rPr>
            <w:b w:val="0"/>
            <w:i w:val="0"/>
            <w:color w:val="1F5FA8"/>
          </w:rPr>
          <w:t>Figure 3D</w:t>
        </w:r>
      </w:hyperlink>
      <w:r>
        <w:rPr>
          <w:b w:val="0"/>
          <w:i w:val="0"/>
        </w:rPr>
        <w:t>).</w:t>
      </w:r>
    </w:p>
    <w:p>
      <w:r>
        <w:rPr>
          <w:b w:val="0"/>
          <w:i w:val="0"/>
        </w:rPr>
        <w:t>Calling the same libraries at targets from 1% to 30% tested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4" w:history="1">
        <w:r>
          <w:rPr>
            <w:b w:val="0"/>
            <w:i w:val="0"/>
            <w:color w:val="1F5FA8"/>
          </w:rPr>
          <w:t>Figure S4A</w:t>
        </w:r>
      </w:hyperlink>
      <w:r>
        <w:rPr>
          <w:b w:val="0"/>
          <w:i w:val="0"/>
        </w:rPr>
        <w:t>). Targets below 5%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4" w:history="1">
        <w:r>
          <w:rPr>
            <w:b w:val="0"/>
            <w:i w:val="0"/>
            <w:color w:val="1F5FA8"/>
          </w:rPr>
          <w:t>Figures S4B</w:t>
        </w:r>
      </w:hyperlink>
      <w:r>
        <w:rPr>
          <w:b w:val="0"/>
          <w:i w:val="0"/>
        </w:rPr>
        <w:t xml:space="preserve"> and </w:t>
      </w:r>
      <w:hyperlink w:anchor="fig_S4" w:history="1">
        <w:r>
          <w:rPr>
            <w:b w:val="0"/>
            <w:i w:val="0"/>
            <w:color w:val="1F5FA8"/>
          </w:rPr>
          <w:t>S4C</w:t>
        </w:r>
      </w:hyperlink>
      <w:r>
        <w:rPr>
          <w:b w:val="0"/>
          <w:i w:val="0"/>
        </w:rPr>
        <w:t>).</w:t>
      </w:r>
    </w:p>
    <w:p>
      <w:r>
        <w:rPr>
          <w:b w:val="0"/>
          <w:i w:val="0"/>
        </w:rPr>
        <w:t>Varying the controls through the whole procedure on J</w:t>
      </w:r>
      <w:r>
        <w:rPr>
          <w:i w:val="0"/>
          <w:vertAlign w:val="subscript"/>
        </w:rPr>
        <w:t>H</w:t>
      </w:r>
      <w:r>
        <w:rPr>
          <w:b w:val="0"/>
          <w:i w:val="0"/>
        </w:rPr>
        <w:t>4 showed how many are needed (</w:t>
      </w:r>
      <w:hyperlink w:anchor="fig_S5" w:history="1">
        <w:r>
          <w:rPr>
            <w:b w:val="0"/>
            <w:i w:val="0"/>
            <w:color w:val="1F5FA8"/>
          </w:rPr>
          <w:t>Figure S5</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Diluting real hypermutated reads into AID-null reads tested the estimates on mutations AID made, with their clonality and clustering (</w:t>
      </w:r>
      <w:hyperlink w:anchor="fig_S6" w:history="1">
        <w:r>
          <w:rPr>
            <w:b w:val="0"/>
            <w:i w:val="0"/>
            <w:color w:val="1F5FA8"/>
          </w:rPr>
          <w:t>Figure S6</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detection was all-or-nothing and depended on the donor: calls began at 2% donor reads for Wt3 and at 50% for Wt2, and no call was made below that.</w:t>
      </w:r>
    </w:p>
    <w:p>
      <w:r>
        <w:rPr>
          <w:b w:val="0"/>
          <w:i w:val="0"/>
        </w:rPr>
        <w:t>Indel validation used ten planted insertions or deletions of 1–40 bp per library, supported by 1–20 reads, with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were excluded by the three-read requirement. J</w:t>
      </w:r>
      <w:r>
        <w:rPr>
          <w:i w:val="0"/>
          <w:vertAlign w:val="subscript"/>
        </w:rPr>
        <w:t>H</w:t>
      </w:r>
      <w:r>
        <w:rPr>
          <w:b w:val="0"/>
          <w:i w:val="0"/>
        </w:rPr>
        <w:t>4 single-base homopolymer deletions were least reliably recovered (19%); recall was 100% for 2-bp insertions and 89% for deletions ≥10 bp (</w:t>
      </w:r>
      <w:hyperlink w:anchor="fig_S7" w:history="1">
        <w:r>
          <w:rPr>
            <w:b w:val="0"/>
            <w:i w:val="0"/>
            <w:color w:val="1F5FA8"/>
          </w:rPr>
          <w:t>Figure S7</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Mutations were introduced at positions sampled according to S5F mutability, including mutations shared across an entire clone, restricted to individual branches, or unique to individual sequences (</w:t>
      </w:r>
      <w:hyperlink w:anchor="fig_3" w:history="1">
        <w:r>
          <w:rPr>
            <w:b w:val="0"/>
            <w:i w:val="0"/>
            <w:color w:val="1F5FA8"/>
          </w:rPr>
          <w:t>Figure 3E</w:t>
        </w:r>
      </w:hyperlink>
      <w:r>
        <w:rPr>
          <w:b w:val="0"/>
          <w:i w:val="0"/>
        </w:rPr>
        <w:t>). SHMtrace recalled 83% of single-read mutations versus 57% for Geneious, with FDR 0.037 versus 0.012 and 13.7 versus 4.0 false calls per library. In null libraries, false calls averaged 0.7 versus 4.3. Junction clustering recovered clone assignments with adjusted Rand indices</w:t>
      </w:r>
      <w:hyperlink w:anchor="ref_32" w:history="1">
        <w:r>
          <w:rPr>
            <w:i w:val="0"/>
            <w:color w:val="1F5FA8"/>
            <w:vertAlign w:val="superscript"/>
          </w:rPr>
          <w:t>32</w:t>
        </w:r>
      </w:hyperlink>
      <w:r>
        <w:rPr>
          <w:b w:val="0"/>
          <w:i w:val="0"/>
        </w:rPr>
        <w:t xml:space="preserve"> of 0.94–0.98.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3" w:history="1">
        <w:r>
          <w:rPr>
            <w:b w:val="0"/>
            <w:i w:val="0"/>
            <w:color w:val="1F5FA8"/>
          </w:rPr>
          <w:t>Figure 3F</w:t>
        </w:r>
      </w:hyperlink>
      <w:r>
        <w:rPr>
          <w:b w:val="0"/>
          <w:i w:val="0"/>
        </w:rPr>
        <w:t>).</w:t>
      </w:r>
    </w:p>
    <w:p>
      <w:r>
        <w:rPr>
          <w:b w:val="0"/>
          <w:i w:val="0"/>
        </w:rPr>
        <w:t>The dominant unmutated clone could not trigger the ≥50% allele filter. Repeating the simulation with a mutated dominant clone showed no loss at 40% abundance, but all mutations crossing the threshold at 60% or 80% were removed. Read-weighted and clone-weighted estimates fell by as much as 62% and 34%, respectively (STAR Methods). Excluded sites are reported for inspection.</w:t>
      </w:r>
    </w:p>
    <w:p>
      <w:r>
        <w:rPr>
          <w:b w:val="0"/>
          <w:i w:val="0"/>
        </w:rPr>
        <w:t>Read-weighted frequencies were within 2% of simulated truth at 500 reads (</w:t>
      </w:r>
      <w:hyperlink w:anchor="fig_3" w:history="1">
        <w:r>
          <w:rPr>
            <w:b w:val="0"/>
            <w:i w:val="0"/>
            <w:color w:val="1F5FA8"/>
          </w:rPr>
          <w:t>Figure 3G</w:t>
        </w:r>
      </w:hyperlink>
      <w:r>
        <w:rPr>
          <w:b w:val="0"/>
          <w:i w:val="0"/>
        </w:rPr>
        <w:t>). Unique-variant density varied with depth because repeated variants increase exposure without adding discoveries, while rare-event detection also changes. Adding the aggregate single-read estimate recovered 96–100% of truth; independently planted single-read events were recovered at 95% in aggregate (</w:t>
      </w:r>
      <w:hyperlink w:anchor="fig_S8" w:history="1">
        <w:r>
          <w:rPr>
            <w:b w:val="0"/>
            <w:i w:val="0"/>
            <w:color w:val="1F5FA8"/>
          </w:rPr>
          <w:t>Figure S8A</w:t>
        </w:r>
      </w:hyperlink>
      <w:r>
        <w:rPr>
          <w:b w:val="0"/>
          <w:i w:val="0"/>
        </w:rPr>
        <w:t>). Unique-density comparisons require matched depth.</w:t>
      </w:r>
    </w:p>
    <w:p>
      <w:r>
        <w:rPr>
          <w:b w:val="0"/>
          <w:i w:val="0"/>
        </w:rPr>
        <w:t>Group-test calibration was assessed in 300 simulations per condition, with between-animal coefficient of variation 1 (</w:t>
      </w:r>
      <w:hyperlink w:anchor="fig_3" w:history="1">
        <w:r>
          <w:rPr>
            <w:b w:val="0"/>
            <w:i w:val="0"/>
            <w:color w:val="1F5FA8"/>
          </w:rPr>
          <w:t>Figure 3H</w:t>
        </w:r>
      </w:hyperlink>
      <w:r>
        <w:rPr>
          <w:b w:val="0"/>
          <w:i w:val="0"/>
        </w:rPr>
        <w:t>). Under no true difference, pooled-read tests returned p &lt; 0.05 in 91% of 3-versus-3 and 94% of 5-versus-5 experiments. Negative-binomial rejection rates were 5.0% and 5.7%. With three animals per group, that test detected two-fold and four-fold changes in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SHMtrace retained 1–4 calls across three controls per assay versus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Geometric-mean unique-density separation was 141-, 85-, 66- and 94-fold for J</w:t>
      </w:r>
      <w:r>
        <w:rPr>
          <w:i w:val="0"/>
          <w:vertAlign w:val="subscript"/>
        </w:rPr>
        <w:t>H</w:t>
      </w:r>
      <w:r>
        <w:rPr>
          <w:b w:val="0"/>
          <w:i w:val="0"/>
        </w:rPr>
        <w:t>4, N114 V</w:t>
      </w:r>
      <w:r>
        <w:rPr>
          <w:i w:val="0"/>
          <w:vertAlign w:val="subscript"/>
        </w:rPr>
        <w:t>H</w:t>
      </w:r>
      <w:r>
        <w:rPr>
          <w:b w:val="0"/>
          <w:i w:val="0"/>
        </w:rPr>
        <w:t>, primary-cell Sμ and CH12 Sμ, respectively, using one-event values for zero-call controls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reached 90% and 59% of discoveries at the largest tested depth, without establishing saturation (</w:t>
      </w:r>
      <w:hyperlink w:anchor="fig_S9" w:history="1">
        <w:r>
          <w:rPr>
            <w:b w:val="0"/>
            <w:i w:val="0"/>
            <w:color w:val="1F5FA8"/>
          </w:rPr>
          <w:t>Figures S9</w:t>
        </w:r>
      </w:hyperlink>
      <w:r>
        <w:rPr>
          <w:b w:val="0"/>
          <w:i w:val="0"/>
        </w:rPr>
        <w:t xml:space="preserve"> and </w:t>
      </w:r>
      <w:hyperlink w:anchor="fig_S10" w:history="1">
        <w:r>
          <w:rPr>
            <w:b w:val="0"/>
            <w:i w:val="0"/>
            <w:color w:val="1F5FA8"/>
          </w:rPr>
          <w:t>S10</w:t>
        </w:r>
      </w:hyperlink>
      <w:r>
        <w:rPr>
          <w:b w:val="0"/>
          <w:i w:val="0"/>
        </w:rPr>
        <w:t>). Background mismatches were position-dependent and separable from abundant clone-shared calls (</w:t>
      </w:r>
      <w:hyperlink w:anchor="fig_S11" w:history="1">
        <w:r>
          <w:rPr>
            <w:b w:val="0"/>
            <w:i w:val="0"/>
            <w:color w:val="1F5FA8"/>
          </w:rPr>
          <w:t>Figure S11</w:t>
        </w:r>
      </w:hyperlink>
      <w:r>
        <w:rPr>
          <w:b w:val="0"/>
          <w:i w:val="0"/>
        </w:rPr>
        <w:t>).</w:t>
      </w:r>
    </w:p>
    <w:p>
      <w:r>
        <w:rPr>
          <w:b w:val="0"/>
          <w:i w:val="0"/>
        </w:rPr>
        <w:t>The same N114 V</w:t>
      </w:r>
      <w:r>
        <w:rPr>
          <w:i w:val="0"/>
          <w:vertAlign w:val="subscript"/>
        </w:rPr>
        <w:t>H</w:t>
      </w:r>
      <w:r>
        <w:rPr>
          <w:b w:val="0"/>
          <w:i w:val="0"/>
        </w:rPr>
        <w:t xml:space="preserve"> reads were analyzed by IgBLAST</w:t>
      </w:r>
      <w:hyperlink w:anchor="ref_33" w:history="1">
        <w:r>
          <w:rPr>
            <w:i w:val="0"/>
            <w:color w:val="1F5FA8"/>
            <w:vertAlign w:val="superscript"/>
          </w:rPr>
          <w:t>33</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2" w:history="1">
        <w:r>
          <w:rPr>
            <w:b w:val="0"/>
            <w:i w:val="0"/>
            <w:color w:val="1F5FA8"/>
          </w:rPr>
          <w:t>Figure S12</w:t>
        </w:r>
      </w:hyperlink>
      <w:r>
        <w:rPr>
          <w:b w:val="0"/>
          <w:i w:val="0"/>
        </w:rPr>
        <w:t>). With the IMGT germline the AID libraries were 2-fold above the empty-vector libraries,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At </w:t>
      </w:r>
      <w:r>
        <w:rPr>
          <w:i/>
        </w:rPr>
        <w:t>Pim1</w:t>
      </w:r>
      <w:r>
        <w:rPr>
          <w:b w:val="0"/>
          <w:i w:val="0"/>
        </w:rPr>
        <w:t>, mutation calls in AID-competent libraries remained close to the AID-null background. At 2,000 reads per library, SHMtrace yielded 1.8-fold separation between groups, with four calls across the controls, compared with 1.6-fold separation and eleven control calls for Geneious. Increasing depth to all available reads (3,238–3,447 per library) did not clearly resolve the signal: SHMtrace detected 3–10 variants per AID-competent library and 0–3 per AID-null library, while Geneious detected 5–7 and 0–4, respectively (</w:t>
      </w:r>
      <w:hyperlink w:anchor="tab_S1" w:history="1">
        <w:r>
          <w:rPr>
            <w:b w:val="0"/>
            <w:i w:val="0"/>
            <w:color w:val="1F5FA8"/>
          </w:rPr>
          <w:t>Table S1</w:t>
        </w:r>
      </w:hyperlink>
      <w:r>
        <w:rPr>
          <w:b w:val="0"/>
          <w:i w:val="0"/>
        </w:rPr>
        <w:t>).</w:t>
      </w:r>
    </w:p>
    <w:p>
      <w:r>
        <w:rPr>
          <w:b w:val="0"/>
          <w:i w:val="0"/>
        </w:rPr>
        <w:t>The two CH12 AID off-target loci, off-target 1 and off-target 2, tested a genetic perturbation expected to reduce AID targeting</w:t>
      </w:r>
      <w:hyperlink w:anchor="ref_34" w:history="1">
        <w:r>
          <w:rPr>
            <w:i w:val="0"/>
            <w:color w:val="1F5FA8"/>
            <w:vertAlign w:val="superscript"/>
          </w:rPr>
          <w:t>34</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0.024 on frequency). Off-target 2 counts were 42, 28, and 23 versus 2, 0, and 0, with densities of 1.68 versus 0.04 (p = 5.5 × 10</w:t>
      </w:r>
      <w:r>
        <w:rPr>
          <w:i w:val="0"/>
          <w:vertAlign w:val="superscript"/>
        </w:rPr>
        <w:t>−4</w:t>
      </w:r>
      <w:r>
        <w:rPr>
          <w:b w:val="0"/>
          <w:i w:val="0"/>
        </w:rPr>
        <w:t xml:space="preserve"> and 0.030). G:C substitutions accounted for 97% of 174 off-target 1 calls and 97% of 93 off-target 2 calls.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No fold is reported because a zero-count convention would determine its magnitude.</w:t>
      </w:r>
    </w:p>
    <w:p>
      <w:r>
        <w:rPr>
          <w:b w:val="0"/>
          <w:i w:val="0"/>
        </w:rPr>
        <w:t>Leave-one-control-out error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held-out candidate tests with p&lt;0.01 to 1.0%, 0.7% and 0.5%, respectively (</w:t>
      </w:r>
      <w:hyperlink w:anchor="fig_4" w:history="1">
        <w:r>
          <w:rPr>
            <w:b w:val="0"/>
            <w:i w:val="0"/>
            <w:color w:val="1F5FA8"/>
          </w:rPr>
          <w:t>Figure 4H</w:t>
        </w:r>
      </w:hyperlink>
      <w:r>
        <w:rPr>
          <w:b w:val="0"/>
          <w:i w:val="0"/>
        </w:rPr>
        <w:t>). This calibrates the error model; the separate decoy threshold estimates the false-discovery proportion.</w:t>
      </w:r>
    </w:p>
    <w:p>
      <w:r>
        <w:rPr>
          <w:b w:val="0"/>
          <w:i w:val="0"/>
        </w:rPr>
        <w:t>Read preparation removed 67% of delivered J</w:t>
      </w:r>
      <w:r>
        <w:rPr>
          <w:i w:val="0"/>
          <w:vertAlign w:val="subscript"/>
        </w:rPr>
        <w:t>H</w:t>
      </w:r>
      <w:r>
        <w:rPr>
          <w:b w:val="0"/>
          <w:i w:val="0"/>
        </w:rPr>
        <w:t>4 reads overall (</w:t>
      </w:r>
      <w:hyperlink w:anchor="fig_4" w:history="1">
        <w:r>
          <w:rPr>
            <w:b w:val="0"/>
            <w:i w:val="0"/>
            <w:color w:val="1F5FA8"/>
          </w:rPr>
          <w:t>Figure 4I</w:t>
        </w:r>
      </w:hyperlink>
      <w:r>
        <w:rPr>
          <w:b w:val="0"/>
          <w:i w:val="0"/>
        </w:rPr>
        <w:t>). Competitive alignment required an additional paralog-base filter: without it, simulated paralog reads produced 35–54 false variants per library (STAR Methods).</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3" w:history="1">
        <w:r>
          <w:rPr>
            <w:b w:val="0"/>
            <w:i w:val="0"/>
            <w:color w:val="1F5FA8"/>
          </w:rPr>
          <w:t>S13</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Absolute unique-variant densities are not directly comparable between workflows because the Sanger analysis counts mutations in individual cloned products, whereas the nanopore analysis counts distinct variants among 500 reads.</w:t>
      </w:r>
    </w:p>
    <w:p>
      <w:pPr>
        <w:keepNext/>
        <w:spacing w:before="160"/>
      </w:pPr>
      <w:r>
        <w:rPr>
          <w:b/>
          <w:i w:val="0"/>
          <w:sz w:val="23"/>
        </w:rPr>
        <w:t>Sanger reanalysis recovers published comparisons and identifies discrepancies</w:t>
      </w:r>
    </w:p>
    <w:p>
      <w:r>
        <w:rPr>
          <w:b w:val="0"/>
          <w:i w:val="0"/>
        </w:rPr>
        <w:t xml:space="preserve">Reanalysis of published </w:t>
      </w:r>
      <w:r>
        <w:rPr>
          <w:i/>
        </w:rPr>
        <w:t>Maea</w:t>
      </w:r>
      <w:r>
        <w:rPr>
          <w:b w:val="0"/>
          <w:i w:val="0"/>
        </w:rPr>
        <w:t xml:space="preserve"> J</w:t>
      </w:r>
      <w:r>
        <w:rPr>
          <w:i w:val="0"/>
          <w:vertAlign w:val="subscript"/>
        </w:rPr>
        <w:t>H</w:t>
      </w:r>
      <w:r>
        <w:rPr>
          <w:b w:val="0"/>
          <w:i w:val="0"/>
        </w:rPr>
        <w:t>4 chromatograms</w:t>
      </w:r>
      <w:hyperlink w:anchor="ref_21" w:history="1">
        <w:r>
          <w:rPr>
            <w:i w:val="0"/>
            <w:color w:val="1F5FA8"/>
            <w:vertAlign w:val="superscript"/>
          </w:rPr>
          <w:t>21</w:t>
        </w:r>
      </w:hyperlink>
      <w:r>
        <w:rPr>
          <w:i w:val="0"/>
          <w:vertAlign w:val="superscript"/>
        </w:rPr>
        <w:t>,</w:t>
      </w:r>
      <w:hyperlink w:anchor="ref_35" w:history="1">
        <w:r>
          <w:rPr>
            <w:i w:val="0"/>
            <w:color w:val="1F5FA8"/>
            <w:vertAlign w:val="superscript"/>
          </w:rPr>
          <w:t>35</w:t>
        </w:r>
      </w:hyperlink>
      <w:r>
        <w:rPr>
          <w:b w:val="0"/>
          <w:i w:val="0"/>
        </w:rPr>
        <w:t xml:space="preserve"> recovered a 4.6-fold frequency reduction versus 4.4-fold published (one-tailed p = 2.3 × 10</w:t>
      </w:r>
      <w:r>
        <w:rPr>
          <w:i w:val="0"/>
          <w:vertAlign w:val="superscript"/>
        </w:rPr>
        <w:t>−4</w:t>
      </w:r>
      <w:r>
        <w:rPr>
          <w:b w:val="0"/>
          <w:i w:val="0"/>
        </w:rPr>
        <w:t xml:space="preserve"> and 0.0143; </w:t>
      </w:r>
      <w:hyperlink w:anchor="fig_S14" w:history="1">
        <w:r>
          <w:rPr>
            <w:b w:val="0"/>
            <w:i w:val="0"/>
            <w:color w:val="1F5FA8"/>
          </w:rPr>
          <w:t>Figure S14</w:t>
        </w:r>
      </w:hyperlink>
      <w:r>
        <w:rPr>
          <w:b w:val="0"/>
          <w:i w:val="0"/>
        </w:rPr>
        <w:t xml:space="preserve">). Spectra correlated at r = 0.99, but denominator-harmonized frequencies averaged 1.0-fold published values. Shared trace assignments and identical mutated-clone pairs were retained as filed and flagged; detailed discrepancies are in </w:t>
      </w:r>
      <w:hyperlink w:anchor="tab_S4" w:history="1">
        <w:r>
          <w:rPr>
            <w:b w:val="0"/>
            <w:i w:val="0"/>
            <w:color w:val="1F5FA8"/>
          </w:rPr>
          <w:t>Table S4</w:t>
        </w:r>
      </w:hyperlink>
      <w:r>
        <w:rPr>
          <w:b w:val="0"/>
          <w:i w:val="0"/>
        </w:rPr>
        <w:t xml:space="preserve"> and STAR Methods.</w:t>
      </w:r>
    </w:p>
    <w:p>
      <w:r>
        <w:rPr>
          <w:b w:val="0"/>
          <w:i w:val="0"/>
        </w:rPr>
        <w:t xml:space="preserve">Reanalysis of 402 </w:t>
      </w:r>
      <w:r>
        <w:rPr>
          <w:i/>
        </w:rPr>
        <w:t>Mkln1</w:t>
      </w:r>
      <w:r>
        <w:rPr>
          <w:b w:val="0"/>
          <w:i w:val="0"/>
        </w:rPr>
        <w:t>-study chromatograms</w:t>
      </w:r>
      <w:hyperlink w:anchor="ref_36" w:history="1">
        <w:r>
          <w:rPr>
            <w:i w:val="0"/>
            <w:color w:val="1F5FA8"/>
            <w:vertAlign w:val="superscript"/>
          </w:rPr>
          <w:t>36</w:t>
        </w:r>
      </w:hyperlink>
      <w:r>
        <w:rPr>
          <w:b w:val="0"/>
          <w:i w:val="0"/>
        </w:rPr>
        <w:t xml:space="preserve"> found an 8.0-fold frequency reduction versus the published 7.8-fold (p = 0.0038 and 0.014). G:C transversions increased from 15% to 29% versus 16% to 27% in the published tables (p = 0.0078 and 0.0040). Spectrum correlations were r = 0.97 for Wt and 0.62 for knockout (</w:t>
      </w:r>
      <w:hyperlink w:anchor="fig_S15" w:history="1">
        <w:r>
          <w:rPr>
            <w:b w:val="0"/>
            <w:i w:val="0"/>
            <w:color w:val="1F5FA8"/>
          </w:rPr>
          <w:t>Figure S15</w:t>
        </w:r>
      </w:hyperlink>
      <w:r>
        <w:rPr>
          <w:b w:val="0"/>
          <w:i w:val="0"/>
        </w:rPr>
        <w:t xml:space="preserve">; </w:t>
      </w:r>
      <w:hyperlink w:anchor="tab_S4" w:history="1">
        <w:r>
          <w:rPr>
            <w:b w:val="0"/>
            <w:i w:val="0"/>
            <w:color w:val="1F5FA8"/>
          </w:rPr>
          <w:t>Table S4</w:t>
        </w:r>
      </w:hyperlink>
      <w:r>
        <w:rPr>
          <w:b w:val="0"/>
          <w:i w:val="0"/>
        </w:rPr>
        <w:t>).</w:t>
      </w:r>
    </w:p>
    <w:p>
      <w:r>
        <w:rPr>
          <w:b w:val="0"/>
          <w:i w:val="0"/>
        </w:rPr>
        <w:t>An independent laboratory's SW</w:t>
      </w:r>
      <w:r>
        <w:rPr>
          <w:i w:val="0"/>
          <w:vertAlign w:val="subscript"/>
        </w:rPr>
        <w:t>HEL</w:t>
      </w:r>
      <w:r>
        <w:rPr>
          <w:b w:val="0"/>
          <w:i w:val="0"/>
        </w:rPr>
        <w:t xml:space="preserve"> study</w:t>
      </w:r>
      <w:hyperlink w:anchor="ref_37" w:history="1">
        <w:r>
          <w:rPr>
            <w:i w:val="0"/>
            <w:color w:val="1F5FA8"/>
            <w:vertAlign w:val="superscript"/>
          </w:rPr>
          <w:t>37</w:t>
        </w:r>
      </w:hyperlink>
      <w:r>
        <w:rPr>
          <w:b w:val="0"/>
          <w:i w:val="0"/>
        </w:rPr>
        <w:t xml:space="preserve"> provided 1,795 sequences across five arms (</w:t>
      </w:r>
      <w:hyperlink w:anchor="fig_S16" w:history="1">
        <w:r>
          <w:rPr>
            <w:b w:val="0"/>
            <w:i w:val="0"/>
            <w:color w:val="1F5FA8"/>
          </w:rPr>
          <w:t>Figure S16</w:t>
        </w:r>
      </w:hyperlink>
      <w:r>
        <w:rPr>
          <w:b w:val="0"/>
          <w:i w:val="0"/>
        </w:rPr>
        <w:t xml:space="preserve">). SHMtrace recovered 2,804 of 2,809 tabulated mutations (r = 1.0000 across 60 spectrum cells), matching mutations per sequence to two decimals. The four substitution-class comparisons agreed with the publication. Total mutation decreased in both analyses, but significance differed under different tests. A potentially pooled host was retained; excluding it did not change the reanalysis conclusions (STAR Methods). The </w:t>
      </w:r>
      <w:r>
        <w:rPr>
          <w:i/>
        </w:rPr>
        <w:t>Msh2</w:t>
      </w:r>
      <w:r>
        <w:rPr>
          <w:i w:val="0"/>
          <w:vertAlign w:val="superscript"/>
        </w:rPr>
        <w:t>−/−</w:t>
      </w:r>
      <w:r>
        <w:rPr>
          <w:b w:val="0"/>
          <w:i w:val="0"/>
        </w:rPr>
        <w:t xml:space="preserve"> arm showed the expected A:T collapse. Deposited sequences evaluate counting, spectra and group statistics, without testing chromatogram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7" w:history="1">
        <w:r>
          <w:rPr>
            <w:b w:val="0"/>
            <w:i w:val="0"/>
            <w:color w:val="1F5FA8"/>
          </w:rPr>
          <w:t>Figure S17</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Junction sequences upstream of J</w:t>
      </w:r>
      <w:r>
        <w:rPr>
          <w:i w:val="0"/>
          <w:vertAlign w:val="subscript"/>
        </w:rPr>
        <w:t>H</w:t>
      </w:r>
      <w:r>
        <w:rPr>
          <w:b w:val="0"/>
          <w:i w:val="0"/>
        </w:rPr>
        <w:t>4 group reads into B-cell lineages (</w:t>
      </w:r>
      <w:hyperlink w:anchor="fig_6" w:history="1">
        <w:r>
          <w:rPr>
            <w:b w:val="0"/>
            <w:i w:val="0"/>
            <w:color w:val="1F5FA8"/>
          </w:rPr>
          <w:t>Figure 6C</w:t>
        </w:r>
      </w:hyperlink>
      <w:r>
        <w:rPr>
          <w:b w:val="0"/>
          <w:i w:val="0"/>
        </w:rPr>
        <w:t>). In Wt2, one largely unmutated lineage accounted for 81% of junction-assigned reads. Read-weighted frequency was 2.8 per 10</w:t>
      </w:r>
      <w:r>
        <w:rPr>
          <w:i w:val="0"/>
          <w:vertAlign w:val="superscript"/>
        </w:rPr>
        <w:t>3</w:t>
      </w:r>
      <w:r>
        <w:rPr>
          <w:b w:val="0"/>
          <w:i w:val="0"/>
        </w:rPr>
        <w:t xml:space="preserve"> bp, compared with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70% of mutated reads fitted one tree; 7/1,128 mutation pairs failed the four-gamete test. Without UMIs,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Three public Illumina studies tested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t>
      </w:r>
      <w:r>
        <w:rPr>
          <w:i/>
        </w:rPr>
        <w:t>Ldha</w:t>
      </w:r>
      <w:r>
        <w:rPr>
          <w:b w:val="0"/>
          <w:i w:val="0"/>
        </w:rPr>
        <w:t xml:space="preserve"> deletion showed no detectable difference from Wt (Mann–Whitney p = 0.75), consistent with the original study</w:t>
      </w:r>
      <w:hyperlink w:anchor="ref_38" w:history="1">
        <w:r>
          <w:rPr>
            <w:i w:val="0"/>
            <w:color w:val="1F5FA8"/>
            <w:vertAlign w:val="superscript"/>
          </w:rPr>
          <w:t>38</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9" w:history="1">
        <w:r>
          <w:rPr>
            <w:i w:val="0"/>
            <w:color w:val="1F5FA8"/>
            <w:vertAlign w:val="superscript"/>
          </w:rPr>
          <w:t>39</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40" w:history="1">
        <w:r>
          <w:rPr>
            <w:i w:val="0"/>
            <w:color w:val="1F5FA8"/>
            <w:vertAlign w:val="superscript"/>
          </w:rPr>
          <w:t>40</w:t>
        </w:r>
      </w:hyperlink>
      <w:r>
        <w:rPr>
          <w:b w:val="0"/>
          <w:i w:val="0"/>
        </w:rPr>
        <w:t xml:space="preserve"> had 3.8-fold more deletions and 2.5-fold more insertions (deletion p = 1.0 × 10</w:t>
      </w:r>
      <w:r>
        <w:rPr>
          <w:i w:val="0"/>
          <w:vertAlign w:val="superscript"/>
        </w:rPr>
        <w:t>−4</w:t>
      </w:r>
      <w:r>
        <w:rPr>
          <w:b w:val="0"/>
          <w:i w:val="0"/>
        </w:rPr>
        <w:t xml:space="preserve">; n=6 per group; </w:t>
      </w:r>
      <w:hyperlink w:anchor="fig_7" w:history="1">
        <w:r>
          <w:rPr>
            <w:b w:val="0"/>
            <w:i w:val="0"/>
            <w:color w:val="1F5FA8"/>
          </w:rPr>
          <w:t>Figure 7D</w:t>
        </w:r>
      </w:hyperlink>
      <w:r>
        <w:rPr>
          <w:b w:val="0"/>
          <w:i w:val="0"/>
        </w:rPr>
        <w:t>). Substitution calls depended strongly on a noisy AID-null library. A rule developed after inspecting this dataset excluded it from decoy thresholding, retaining it in model fitting and reporting the exclusion. Adjusted calls were 52–99 per Wt/HMCES-deficient clone; treating that control as a sample instead yielded 277–413. This sensitivity limits substitution-burden inference (STAR Methods); the rule also acted in mOrange.</w:t>
      </w:r>
    </w:p>
    <w:p>
      <w:r>
        <w:rPr>
          <w:b w:val="0"/>
          <w:i w:val="0"/>
        </w:rPr>
        <w:t>On dual-UMI R10 rRNA-operon reads</w:t>
      </w:r>
      <w:hyperlink w:anchor="ref_41" w:history="1">
        <w:r>
          <w:rPr>
            <w:i w:val="0"/>
            <w:color w:val="1F5FA8"/>
            <w:vertAlign w:val="superscript"/>
          </w:rPr>
          <w:t>41</w:t>
        </w:r>
      </w:hyperlink>
      <w:r>
        <w:rPr>
          <w:b w:val="0"/>
          <w:i w:val="0"/>
        </w:rPr>
        <w:t>, consensus reduced error 57-fold (95% CI 35–99) to 0.17%, with residual errors concentrated in homopolymer indels. At ≥10 reads per family, substitution error approached one per 10,000 bases (</w:t>
      </w:r>
      <w:hyperlink w:anchor="fig_S8" w:history="1">
        <w:r>
          <w:rPr>
            <w:b w:val="0"/>
            <w:i w:val="0"/>
            <w:color w:val="1F5FA8"/>
          </w:rPr>
          <w:t>Figure S8D</w:t>
        </w:r>
      </w:hyperlink>
      <w:r>
        <w:rPr>
          <w:b w:val="0"/>
          <w:i w:val="0"/>
        </w:rPr>
        <w:t>). Critically, this is a technical consensus benchmark rather than an SHM experiment.</w:t>
      </w:r>
    </w:p>
    <w:p>
      <w:r>
        <w:rPr>
          <w:b w:val="0"/>
          <w:i w:val="0"/>
        </w:rPr>
        <w:t>In the mOrange study</w:t>
      </w:r>
      <w:hyperlink w:anchor="ref_42" w:history="1">
        <w:r>
          <w:rPr>
            <w:i w:val="0"/>
            <w:color w:val="1F5FA8"/>
            <w:vertAlign w:val="superscript"/>
          </w:rPr>
          <w:t>42</w:t>
        </w:r>
      </w:hyperlink>
      <w:r>
        <w:rPr>
          <w:b w:val="0"/>
          <w:i w:val="0"/>
        </w:rPr>
        <w:t>, inactive-AID controls calibrated active AID across empty-vector, Ugi and UNG contexts (</w:t>
      </w:r>
      <w:hyperlink w:anchor="fig_7" w:history="1">
        <w:r>
          <w:rPr>
            <w:b w:val="0"/>
            <w:i w:val="0"/>
            <w:color w:val="1F5FA8"/>
          </w:rPr>
          <w:t>Figure 7E</w:t>
        </w:r>
      </w:hyperlink>
      <w:r>
        <w:rPr>
          <w:b w:val="0"/>
          <w:i w:val="0"/>
        </w:rPr>
        <w:t>). SHMtrace retained 115 substitutions, all at G:C, with 75–100% at WRC/GYW hotspots. Active/inactive separation was 20-, 1,002- and 103-fold, respectively; Ugi zeros used one-event values. Ugi-to-UNG transition shares fell from 95% to 4%. The paired mean difference was 92 percentage points (95% CI 74–110; paired t, p = 0.0021); few calls per library limit precision.</w:t>
      </w:r>
    </w:p>
    <w:p>
      <w:r>
        <w:rPr>
          <w:b w:val="0"/>
          <w:i w:val="0"/>
        </w:rPr>
        <w:t>Two engineered-diversification datasets extended the evaluation to mutations measured relative to experimental starting constructs (</w:t>
      </w:r>
      <w:hyperlink w:anchor="fig_S18" w:history="1">
        <w:r>
          <w:rPr>
            <w:b w:val="0"/>
            <w:i w:val="0"/>
            <w:color w:val="1F5FA8"/>
          </w:rPr>
          <w:t>Figure S18</w:t>
        </w:r>
      </w:hyperlink>
      <w:r>
        <w:rPr>
          <w:b w:val="0"/>
          <w:i w:val="0"/>
        </w:rPr>
        <w:t>). In a study using a common GFP substrate</w:t>
      </w:r>
      <w:hyperlink w:anchor="ref_43" w:history="1">
        <w:r>
          <w:rPr>
            <w:i w:val="0"/>
            <w:color w:val="1F5FA8"/>
            <w:vertAlign w:val="superscript"/>
          </w:rPr>
          <w:t>43</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4" w:history="1">
        <w:r>
          <w:rPr>
            <w:i w:val="0"/>
            <w:color w:val="1F5FA8"/>
            <w:vertAlign w:val="superscript"/>
          </w:rPr>
          <w:t>44</w:t>
        </w:r>
      </w:hyperlink>
      <w:r>
        <w:rPr>
          <w:b w:val="0"/>
          <w:i w:val="0"/>
        </w:rPr>
        <w:t>. Comparing the two lists position by position, SHMtrace recovered 150 of the 150 published mutations and called none the authors did not, across all 42 cluster entries (</w:t>
      </w:r>
      <w:hyperlink w:anchor="fig_S18" w:history="1">
        <w:r>
          <w:rPr>
            <w:b w:val="0"/>
            <w:i w:val="0"/>
            <w:color w:val="1F5FA8"/>
          </w:rPr>
          <w:t>Figure S18B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5" w:history="1">
        <w:r>
          <w:rPr>
            <w:i w:val="0"/>
            <w:color w:val="1F5FA8"/>
            <w:vertAlign w:val="superscript"/>
          </w:rPr>
          <w:t>45</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19" w:history="1">
        <w:r>
          <w:rPr>
            <w:b w:val="0"/>
            <w:i w:val="0"/>
            <w:color w:val="1F5FA8"/>
          </w:rPr>
          <w:t>Figure S19</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PacBio Sμ–Sγ1 junctions</w:t>
      </w:r>
      <w:hyperlink w:anchor="ref_46" w:history="1">
        <w:r>
          <w:rPr>
            <w:i w:val="0"/>
            <w:color w:val="1F5FA8"/>
            <w:vertAlign w:val="superscript"/>
          </w:rPr>
          <w:t>46</w:t>
        </w:r>
      </w:hyperlink>
      <w:r>
        <w:rPr>
          <w:b w:val="0"/>
          <w:i w:val="0"/>
        </w:rPr>
        <w:t xml:space="preserve"> tested junction structure rather than calibrated mutation calls (</w:t>
      </w:r>
      <w:hyperlink w:anchor="fig_S20" w:history="1">
        <w:r>
          <w:rPr>
            <w:b w:val="0"/>
            <w:i w:val="0"/>
            <w:color w:val="1F5FA8"/>
          </w:rPr>
          <w:t>Figure S20</w:t>
        </w:r>
      </w:hyperlink>
      <w:r>
        <w:rPr>
          <w:b w:val="0"/>
          <w:i w:val="0"/>
        </w:rPr>
        <w:t xml:space="preserve">). Mean microhomology was 1.01 nt in Wt and 1.02 nt in </w:t>
      </w:r>
      <w:r>
        <w:rPr>
          <w:i/>
        </w:rPr>
        <w:t>Shld1</w:t>
      </w:r>
      <w:r>
        <w:rPr>
          <w:i w:val="0"/>
          <w:vertAlign w:val="superscript"/>
        </w:rPr>
        <w:t>−/−</w:t>
      </w:r>
      <w:r>
        <w:rPr>
          <w:b w:val="0"/>
          <w:i w:val="0"/>
        </w:rPr>
        <w:t xml:space="preserve">, rising to 1.69 nt without XLF and 1.59 nt in double mutants. Double mutants showed more ≥4-nt microhomology and fewer blunt junctions; </w:t>
      </w:r>
      <w:r>
        <w:rPr>
          <w:i/>
        </w:rPr>
        <w:t>Shld1</w:t>
      </w:r>
      <w:r>
        <w:rPr>
          <w:i w:val="0"/>
          <w:vertAlign w:val="superscript"/>
        </w:rPr>
        <w:t>−/−</w:t>
      </w:r>
      <w:r>
        <w:rPr>
          <w:b w:val="0"/>
          <w:i w:val="0"/>
        </w:rPr>
        <w:t xml:space="preserve"> showed more insertions. These patterns support recovery of a known repair phenotype. Counts reflect PCR recovery rather than switching efficiency; 19–47% of junctions had alternative equally good acceptor placements (STAR Methods).</w:t>
      </w:r>
    </w:p>
    <w:p>
      <w:pPr>
        <w:keepNext/>
        <w:spacing w:before="240"/>
      </w:pPr>
      <w:r>
        <w:rPr>
          <w:b/>
          <w:i w:val="0"/>
          <w:sz w:val="26"/>
        </w:rPr>
        <w:t>Discussion</w:t>
      </w:r>
    </w:p>
    <w:p>
      <w:r>
        <w:rPr>
          <w:b w:val="0"/>
          <w:i w:val="0"/>
        </w:rPr>
        <w:t>Measuring somatic hypermutation has long meant choosing between reading molecules accurately and reading enough of them. This study supports a cloning-free SHM workflow by estimating technical background from controls. SHMtrace connects delivered reads or chromatograms to mutation profiles and comparisons across biological replicates. Rather than relying on quality scores alone, it estimates the background in the AID-null libraries that SHM studies already include, at the level of substitution type, strand and base quality, and checks that calibration by holding out each control in turn.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 Together, these results support a practical route from deeply sequenced amplicons to interpretable SHM measurements across biological replicates.</w:t>
      </w:r>
    </w:p>
    <w:p>
      <w:r>
        <w:rPr>
          <w:b w:val="0"/>
          <w:i w:val="0"/>
        </w:rPr>
        <w:t>The gap this fills is specific, and it sits between two mature bodies of software. Repertoire toolkits identify and summarise mutations well: IgBLAST assigns germlines</w:t>
      </w:r>
      <w:hyperlink w:anchor="ref_33" w:history="1">
        <w:r>
          <w:rPr>
            <w:i w:val="0"/>
            <w:color w:val="1F5FA8"/>
            <w:vertAlign w:val="superscript"/>
          </w:rPr>
          <w:t>33</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to the germline separated AID from empty-vector N114 libraries by 2-fold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The evaluated configurations did not use AID-null calibration in the manner tested here.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the configurations tested here did not capture this assay's background as effectively as matched-control calibration. The measurements say why. Above Q40, control error stopped decreasing and differed across the evaluated datasets (1–9 × 10</w:t>
      </w:r>
      <w:r>
        <w:rPr>
          <w:i w:val="0"/>
          <w:vertAlign w:val="superscript"/>
        </w:rPr>
        <w:t>−5</w:t>
      </w:r>
      <w:r>
        <w:rPr>
          <w:b w:val="0"/>
          <w:i w:val="0"/>
        </w:rPr>
        <w:t xml:space="preserve">; </w:t>
      </w:r>
      <w:hyperlink w:anchor="fig_S2" w:history="1">
        <w:r>
          <w:rPr>
            <w:b w:val="0"/>
            <w:i w:val="0"/>
            <w:color w:val="1F5FA8"/>
          </w:rPr>
          <w:t>Figure S2</w:t>
        </w:r>
      </w:hyperlink>
      <w:r>
        <w:rPr>
          <w:b w:val="0"/>
          <w:i w:val="0"/>
        </w:rPr>
        <w:t>), so the quality score runs out of information exactly where SHM calling needs it. ClairS and DeepSomatic recovered clean variants at higher allele fractions but few real SHM calls, and chemistry and model mismatches further qualify external-data comparisons. Clair3 and DeepVariant found none of the planted mutations, as expected of callers built to genotype a sample against a reference rather than to find a variant carried by a few reads. Geneious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FDR 0.18 and 0.16, while events unresolved individually can be estimated in aggregate. Together, these outputs make the sensitivity–background tradeoff explicit and help investigators choose a calling regime appropriate to their experiment.</w:t>
      </w:r>
    </w:p>
    <w:p>
      <w:r>
        <w:rPr>
          <w:b w:val="0"/>
          <w:i w:val="0"/>
        </w:rPr>
        <w:t xml:space="preserve">A shared framework accommodates four platforms through distinct analyses: control-calibrated read-library substitutions, direct Sanger counting and PacBio junction characterization. A Sanger clone is one molecule read once, so its mutations are read directly; the workflow therefore counts quality-filtered substitutions directly and reports the control-derived background separately. Nanopore and Illumina libraries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1" w:history="1">
        <w:r>
          <w:rPr>
            <w:b w:val="0"/>
            <w:i w:val="0"/>
            <w:color w:val="1F5FA8"/>
          </w:rPr>
          <w:t>Figure S21</w:t>
        </w:r>
      </w:hyperlink>
      <w:r>
        <w:rPr>
          <w:b w:val="0"/>
          <w:i w:val="0"/>
        </w:rPr>
        <w:t xml:space="preserve"> sets out what each measured. Agreement between platforms is itself evidence: nanopore and Sanger reads from the same six mice gave substitution spectra correlated at r = 0.92 and the same AID-null contrast, supporting the use of cloning-free long reads to recover established SHM patterns while adding whole-amplicon linkage.</w:t>
      </w:r>
    </w:p>
    <w:p>
      <w:r>
        <w:rPr>
          <w:b w:val="0"/>
          <w:i w:val="0"/>
        </w:rPr>
        <w:t>Reanalysis of public data tested SHMtrace against independent biological and counting expectations.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 1.0000),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4" w:history="1">
        <w:r>
          <w:rPr>
            <w:b w:val="0"/>
            <w:i w:val="0"/>
            <w:color w:val="1F5FA8"/>
          </w:rPr>
          <w:t>Figures S14</w:t>
        </w:r>
      </w:hyperlink>
      <w:r>
        <w:rPr>
          <w:b w:val="0"/>
          <w:i w:val="0"/>
        </w:rPr>
        <w:t>–</w:t>
      </w:r>
      <w:hyperlink w:anchor="fig_S16" w:history="1">
        <w:r>
          <w:rPr>
            <w:b w:val="0"/>
            <w:i w:val="0"/>
            <w:color w:val="1F5FA8"/>
          </w:rPr>
          <w:t>S16</w:t>
        </w:r>
      </w:hyperlink>
      <w:r>
        <w:rPr>
          <w:b w:val="0"/>
          <w:i w:val="0"/>
        </w:rPr>
        <w:t>). The Sanger re-analysis also surfaced bookkeeping problems, which SHMtrace now checks and reports rather than silently resolving. By retaining assignments, counting conventions and quality flags, SHMtrace makes legacy sequence collections easier to revisit, compare and reuse.</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approximately twenty, with considerable uncertainty in that estimate (</w:t>
      </w:r>
      <w:hyperlink w:anchor="fig_S8" w:history="1">
        <w:r>
          <w:rPr>
            <w:b w:val="0"/>
            <w:i w:val="0"/>
            <w:color w:val="1F5FA8"/>
          </w:rPr>
          <w:t>Figure S8B</w:t>
        </w:r>
      </w:hyperlink>
      <w:r>
        <w:rPr>
          <w:b w:val="0"/>
          <w:i w:val="0"/>
        </w:rPr>
        <w:t>). Sequencing depth cannot substitute for independent biological samples, and no analysis can recover a comparison the design did not support. Within that boundary the framework extends readily. It needs only a target, matched AID-null libraries and a sample sheet, supporting its application to off-target loci, switch regions, engineered diversification and base-editor substrates across twelve loci from eleven laboratories. Further validation on independently prepared runs and UMI-tagged SHM libraries can establish how far this framework extends. SHMtrace brings control-calibrated mutation detection, whole-amplicon profiles and comparisons across biological replicates into one reproducible workflow. By preserving mutation linkage and documenting analytical choices, it makes long-read SHM data more informative and supports transparent reanalysis of existing sequence collections. This provides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this tool,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4" w:history="1">
        <w:r>
          <w:rPr>
            <w:b w:val="0"/>
            <w:i w:val="0"/>
            <w:color w:val="1F5FA8"/>
          </w:rPr>
          <w:t>S24</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xml:space="preserve">, and planted-mutation results for all tested callers in </w:t>
      </w:r>
      <w:hyperlink w:anchor="fig_3" w:history="1">
        <w:r>
          <w:rPr>
            <w:b w:val="0"/>
            <w:i w:val="0"/>
            <w:color w:val="1F5FA8"/>
          </w:rPr>
          <w:t>Figure 3</w:t>
        </w:r>
      </w:hyperlink>
      <w:r>
        <w:rPr>
          <w:b w:val="0"/>
          <w:i w:val="0"/>
        </w:rPr>
        <w:t xml:space="preserve">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versus control-calibrated decisions, schematically. SHMtrace estimates background by substitution, strand, quality and position from matched null controls. Check marks/crosses denote correct/incorrect schematic decisions. </w:t>
      </w:r>
      <w:r>
        <w:rPr>
          <w:b w:val="0"/>
          <w:i w:val="0"/>
          <w:sz w:val="20"/>
        </w:rPr>
        <w:t>(</w:t>
      </w:r>
      <w:r>
        <w:rPr>
          <w:b/>
          <w:i w:val="0"/>
          <w:sz w:val="20"/>
        </w:rPr>
        <w:t>B</w:t>
      </w:r>
      <w:r>
        <w:rPr>
          <w:b w:val="0"/>
          <w:i w:val="0"/>
          <w:sz w:val="20"/>
        </w:rPr>
        <w:t>)</w:t>
      </w:r>
      <w:r>
        <w:rPr>
          <w:b w:val="0"/>
          <w:i w:val="0"/>
          <w:sz w:val="20"/>
        </w:rPr>
        <w:t xml:space="preserve"> Accepted inputs and preparation. Sanger Q≥20 trimming replaces the expected-error gate; Sanger clones are not downsampled. </w:t>
      </w:r>
      <w:r>
        <w:rPr>
          <w:b w:val="0"/>
          <w:i w:val="0"/>
          <w:sz w:val="20"/>
        </w:rPr>
        <w:t>(</w:t>
      </w:r>
      <w:r>
        <w:rPr>
          <w:b/>
          <w:i w:val="0"/>
          <w:sz w:val="20"/>
        </w:rPr>
        <w:t>C</w:t>
      </w:r>
      <w:r>
        <w:rPr>
          <w:b w:val="0"/>
          <w:i w:val="0"/>
          <w:sz w:val="20"/>
        </w:rPr>
        <w:t>)</w:t>
      </w:r>
      <w:r>
        <w:rPr>
          <w:b w:val="0"/>
          <w:i w:val="0"/>
          <w:sz w:val="20"/>
        </w:rPr>
        <w:t xml:space="preserve"> Read-library substitutions undergo a control-fitted test and empirical false-discovery threshold; single-read support is allowed. Sanger Q≥20 substitutions are counted with expected background reported separately, without subtraction. Both share windows, quality checks and the heuristic ≥50% allele exclusion, with an opt-in known-ancestor exception. </w:t>
      </w:r>
      <w:r>
        <w:rPr>
          <w:b w:val="0"/>
          <w:i w:val="0"/>
          <w:sz w:val="20"/>
        </w:rPr>
        <w:t>(</w:t>
      </w:r>
      <w:r>
        <w:rPr>
          <w:b/>
          <w:i w:val="0"/>
          <w:sz w:val="20"/>
        </w:rPr>
        <w:t>D</w:t>
      </w:r>
      <w:r>
        <w:rPr>
          <w:b w:val="0"/>
          <w:i w:val="0"/>
          <w:sz w:val="20"/>
        </w:rPr>
        <w:t>)</w:t>
      </w:r>
      <w:r>
        <w:rPr>
          <w:b w:val="0"/>
          <w:i w:val="0"/>
          <w:sz w:val="20"/>
        </w:rPr>
        <w:t xml:space="preserve"> Outputs and comparisons across biological replicates. Reads need not represent independent original molecules. FDR, false-discovery rate. See also </w:t>
      </w:r>
      <w:hyperlink w:anchor="fig_S1" w:history="1">
        <w:r>
          <w:rPr>
            <w:b/>
            <w:i w:val="0"/>
            <w:color w:val="1F5FA8"/>
            <w:sz w:val="20"/>
          </w:rPr>
          <w:t>Figure S1</w:t>
        </w:r>
      </w:hyperlink>
      <w:r>
        <w:rPr>
          <w:b w:val="0"/>
          <w:i w:val="0"/>
          <w:sz w:val="20"/>
        </w:rPr>
        <w:t>. The PacBio evaluation concerns junction structure, without validating control-calibrated mutation calls.</w:t>
      </w:r>
    </w:p>
    <w:p>
      <w:pPr>
        <w:keepNext/>
        <w:pageBreakBefore/>
        <w:spacing w:after="100"/>
        <w:jc w:val="center"/>
      </w:pPr>
      <w:r>
        <w:drawing>
          <wp:inline xmlns:a="http://schemas.openxmlformats.org/drawingml/2006/main" xmlns:pic="http://schemas.openxmlformats.org/drawingml/2006/picture">
            <wp:extent cx="6264000" cy="403121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03121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C-to-T support by strand in Sμ WT3 and controls (PRJNA1481264; 2,000 reads/library). Counts include all qualities; parentheses give Q≥20 subsets. Positions 165 and 97 show hotspot-associated and recurrent-background candidates. p denotes SHMtrace's test. </w:t>
      </w:r>
      <w:r>
        <w:rPr>
          <w:b w:val="0"/>
          <w:i w:val="0"/>
          <w:sz w:val="20"/>
        </w:rPr>
        <w:t>(</w:t>
      </w:r>
      <w:r>
        <w:rPr>
          <w:b/>
          <w:i w:val="0"/>
          <w:sz w:val="20"/>
        </w:rPr>
        <w:t>C</w:t>
      </w:r>
      <w:r>
        <w:rPr>
          <w:b w:val="0"/>
          <w:i w:val="0"/>
          <w:sz w:val="20"/>
        </w:rPr>
        <w:t>)</w:t>
      </w:r>
      <w:r>
        <w:rPr>
          <w:b w:val="0"/>
          <w:i w:val="0"/>
          <w:sz w:val="20"/>
        </w:rPr>
        <w:t xml:space="preserve"> Supporting-base qualities; bars, medians; dotted line, Q20. </w:t>
      </w:r>
      <w:r>
        <w:rPr>
          <w:b w:val="0"/>
          <w:i w:val="0"/>
          <w:sz w:val="20"/>
        </w:rPr>
        <w:t>(</w:t>
      </w:r>
      <w:r>
        <w:rPr>
          <w:b/>
          <w:i w:val="0"/>
          <w:sz w:val="20"/>
        </w:rPr>
        <w:t>D</w:t>
      </w:r>
      <w:r>
        <w:rPr>
          <w:b w:val="0"/>
          <w:i w:val="0"/>
          <w:sz w:val="20"/>
        </w:rPr>
        <w:t>)</w:t>
      </w:r>
      <w:r>
        <w:rPr>
          <w:b w:val="0"/>
          <w:i w:val="0"/>
          <w:sz w:val="20"/>
        </w:rPr>
        <w:t xml:space="preserve"> Retained candidates and depth-scaled decoy estimates across thresholds; the empirical 5% criterion retained 88 calls. </w:t>
      </w:r>
      <w:r>
        <w:rPr>
          <w:b w:val="0"/>
          <w:i w:val="0"/>
          <w:sz w:val="20"/>
        </w:rPr>
        <w:t>(</w:t>
      </w:r>
      <w:r>
        <w:rPr>
          <w:b/>
          <w:i w:val="0"/>
          <w:sz w:val="20"/>
        </w:rPr>
        <w:t>E</w:t>
      </w:r>
      <w:r>
        <w:rPr>
          <w:b w:val="0"/>
          <w:i w:val="0"/>
          <w:sz w:val="20"/>
        </w:rPr>
        <w:t>)</w:t>
      </w:r>
      <w:r>
        <w:rPr>
          <w:b w:val="0"/>
          <w:i w:val="0"/>
          <w:sz w:val="20"/>
        </w:rPr>
        <w:t xml:space="preserve"> Allele fractions of retained calls at 500 reads for J</w:t>
      </w:r>
      <w:r>
        <w:rPr>
          <w:i w:val="0"/>
          <w:sz w:val="20"/>
          <w:vertAlign w:val="subscript"/>
        </w:rPr>
        <w:t>H</w:t>
      </w:r>
      <w:r>
        <w:rPr>
          <w:b w:val="0"/>
          <w:i w:val="0"/>
          <w:sz w:val="20"/>
        </w:rPr>
        <w:t>4/N114 V</w:t>
      </w:r>
      <w:r>
        <w:rPr>
          <w:i w:val="0"/>
          <w:sz w:val="20"/>
          <w:vertAlign w:val="subscript"/>
        </w:rPr>
        <w:t>H</w:t>
      </w:r>
      <w:r>
        <w:rPr>
          <w:b w:val="0"/>
          <w:i w:val="0"/>
          <w:sz w:val="20"/>
        </w:rPr>
        <w:t xml:space="preserve"> and 2,000 for Sμ/</w:t>
      </w:r>
      <w:r>
        <w:rPr>
          <w:i/>
          <w:sz w:val="20"/>
        </w:rPr>
        <w:t>Pim1</w:t>
      </w:r>
      <w:r>
        <w:rPr>
          <w:b w:val="0"/>
          <w:i w:val="0"/>
          <w:sz w:val="20"/>
        </w:rPr>
        <w:t xml:space="preserve">. Shading marks 5–20% support tested in </w:t>
      </w:r>
      <w:hyperlink w:anchor="fig_3" w:history="1">
        <w:r>
          <w:rPr>
            <w:b/>
            <w:i w:val="0"/>
            <w:color w:val="1F5FA8"/>
            <w:sz w:val="20"/>
          </w:rPr>
          <w:t>Figure 3C</w:t>
        </w:r>
      </w:hyperlink>
      <w:r>
        <w:rPr>
          <w:b w:val="0"/>
          <w:i w:val="0"/>
          <w:sz w:val="20"/>
        </w:rPr>
        <w:t xml:space="preserve">, rather than a universal caller boundary; dotted line, default 50% exclusion. See also </w:t>
      </w:r>
      <w:hyperlink w:anchor="fig_S2" w:history="1">
        <w:r>
          <w:rPr>
            <w:b/>
            <w:i w:val="0"/>
            <w:color w:val="1F5FA8"/>
            <w:sz w:val="20"/>
          </w:rPr>
          <w:t>Figure S2</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752105"/>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752105"/>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and simulated lineages quantify recall and false calls. </w:t>
      </w:r>
      <w:r>
        <w:rPr>
          <w:b w:val="0"/>
          <w:i w:val="0"/>
          <w:sz w:val="20"/>
        </w:rPr>
        <w:t>(</w:t>
      </w:r>
      <w:r>
        <w:rPr>
          <w:b/>
          <w:i w:val="0"/>
          <w:sz w:val="20"/>
        </w:rPr>
        <w:t>A, B</w:t>
      </w:r>
      <w:r>
        <w:rPr>
          <w:b w:val="0"/>
          <w:i w:val="0"/>
          <w:sz w:val="20"/>
        </w:rPr>
        <w:t>)</w:t>
      </w:r>
      <w:r>
        <w:rPr>
          <w:b w:val="0"/>
          <w:i w:val="0"/>
          <w:sz w:val="20"/>
        </w:rPr>
        <w:t xml:space="preserve"> Planted-substitution recall by support: 60 sites × 3 draws × 3 held-out controls/locus, 90 events/support point; lines span controls. FDR labels are pooled false/(true+false)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solid, 1–20/500 reads; dashed, 5–20% support, 30 sites/fraction/control with peer controls as normal. </w:t>
      </w:r>
      <w:r>
        <w:rPr>
          <w:b w:val="0"/>
          <w:i w:val="0"/>
          <w:sz w:val="20"/>
        </w:rPr>
        <w:t>(</w:t>
      </w:r>
      <w:r>
        <w:rPr>
          <w:b/>
          <w:i w:val="0"/>
          <w:sz w:val="20"/>
        </w:rPr>
        <w:t>D</w:t>
      </w:r>
      <w:r>
        <w:rPr>
          <w:b w:val="0"/>
          <w:i w:val="0"/>
          <w:sz w:val="20"/>
        </w:rPr>
        <w:t>)</w:t>
      </w:r>
      <w:r>
        <w:rPr>
          <w:b w:val="0"/>
          <w:i w:val="0"/>
          <w:sz w:val="20"/>
        </w:rPr>
        <w:t xml:space="preserve"> Recall versus false calls/library across four loci; zero remains zero on a symmetric-log axis, linear from zero to 0.1 false calls/library. </w:t>
      </w:r>
      <w:r>
        <w:rPr>
          <w:b w:val="0"/>
          <w:i w:val="0"/>
          <w:sz w:val="20"/>
        </w:rPr>
        <w:t>(</w:t>
      </w:r>
      <w:r>
        <w:rPr>
          <w:b/>
          <w:i w:val="0"/>
          <w:sz w:val="20"/>
        </w:rPr>
        <w:t>E</w:t>
      </w:r>
      <w:r>
        <w:rPr>
          <w:b w:val="0"/>
          <w:i w:val="0"/>
          <w:sz w:val="20"/>
        </w:rPr>
        <w:t>)</w:t>
      </w:r>
      <w:r>
        <w:rPr>
          <w:b w:val="0"/>
          <w:i w:val="0"/>
          <w:sz w:val="20"/>
        </w:rPr>
        <w:t xml:space="preserve"> Simulated approximately 40-clone libraries, three/scenario; lines span libraries. </w:t>
      </w:r>
      <w:r>
        <w:rPr>
          <w:b w:val="0"/>
          <w:i w:val="0"/>
          <w:sz w:val="20"/>
        </w:rPr>
        <w:t>(</w:t>
      </w:r>
      <w:r>
        <w:rPr>
          <w:b/>
          <w:i w:val="0"/>
          <w:sz w:val="20"/>
        </w:rPr>
        <w:t>F</w:t>
      </w:r>
      <w:r>
        <w:rPr>
          <w:b w:val="0"/>
          <w:i w:val="0"/>
          <w:sz w:val="20"/>
        </w:rPr>
        <w:t>)</w:t>
      </w:r>
      <w:r>
        <w:rPr>
          <w:b w:val="0"/>
          <w:i w:val="0"/>
          <w:sz w:val="20"/>
        </w:rPr>
        <w:t xml:space="preserve"> Read- and clone-weighted estimates versus corresponding truth; stems join each library's pair. An unmutated expanded clone contributes 60% of reads. </w:t>
      </w:r>
      <w:r>
        <w:rPr>
          <w:b w:val="0"/>
          <w:i w:val="0"/>
          <w:sz w:val="20"/>
        </w:rPr>
        <w:t>(</w:t>
      </w:r>
      <w:r>
        <w:rPr>
          <w:b/>
          <w:i w:val="0"/>
          <w:sz w:val="20"/>
        </w:rPr>
        <w:t>G</w:t>
      </w:r>
      <w:r>
        <w:rPr>
          <w:b w:val="0"/>
          <w:i w:val="0"/>
          <w:sz w:val="20"/>
        </w:rPr>
        <w:t>)</w:t>
      </w:r>
      <w:r>
        <w:rPr>
          <w:b w:val="0"/>
          <w:i w:val="0"/>
          <w:sz w:val="20"/>
        </w:rPr>
        <w:t xml:space="preserve"> Estimate/truth by depth, means and ranges over three controls; solid, J</w:t>
      </w:r>
      <w:r>
        <w:rPr>
          <w:i w:val="0"/>
          <w:sz w:val="20"/>
          <w:vertAlign w:val="subscript"/>
        </w:rPr>
        <w:t>H</w:t>
      </w:r>
      <w:r>
        <w:rPr>
          <w:b w:val="0"/>
          <w:i w:val="0"/>
          <w:sz w:val="20"/>
        </w:rPr>
        <w:t xml:space="preserve">4; dashed, N114. Combined density adds estimated uncalled single-read events. </w:t>
      </w:r>
      <w:r>
        <w:rPr>
          <w:b w:val="0"/>
          <w:i w:val="0"/>
          <w:sz w:val="20"/>
        </w:rPr>
        <w:t>(</w:t>
      </w:r>
      <w:r>
        <w:rPr>
          <w:b/>
          <w:i w:val="0"/>
          <w:sz w:val="20"/>
        </w:rPr>
        <w:t>H</w:t>
      </w:r>
      <w:r>
        <w:rPr>
          <w:b w:val="0"/>
          <w:i w:val="0"/>
          <w:sz w:val="20"/>
        </w:rPr>
        <w:t>)</w:t>
      </w:r>
      <w:r>
        <w:rPr>
          <w:b w:val="0"/>
          <w:i w:val="0"/>
          <w:sz w:val="20"/>
        </w:rPr>
        <w:t xml:space="preserve"> Rejection rates across 300 experiments/condition, n=3 or 5/group; dotted line, 5%. Monte Carlo 95% half-width ≤5.6 points. Exact two-sided permutation p≥0.10 at n=3. BAQ, base-alignment quality. See </w:t>
      </w:r>
      <w:hyperlink w:anchor="fig_S4" w:history="1">
        <w:r>
          <w:rPr>
            <w:b/>
            <w:i w:val="0"/>
            <w:color w:val="1F5FA8"/>
            <w:sz w:val="20"/>
          </w:rPr>
          <w:t>Figures S4</w:t>
        </w:r>
      </w:hyperlink>
      <w:r>
        <w:rPr>
          <w:b/>
          <w:i w:val="0"/>
          <w:sz w:val="20"/>
        </w:rPr>
        <w:t>–</w:t>
      </w:r>
      <w:hyperlink w:anchor="fig_S8" w:history="1">
        <w:r>
          <w:rPr>
            <w:b/>
            <w:i w:val="0"/>
            <w:color w:val="1F5FA8"/>
            <w:sz w:val="20"/>
          </w:rPr>
          <w:t>S8</w:t>
        </w:r>
      </w:hyperlink>
      <w:r>
        <w:rPr>
          <w:b/>
          <w:i w:val="0"/>
          <w:sz w:val="20"/>
        </w:rPr>
        <w:t xml:space="preserve"> and </w:t>
      </w:r>
      <w:hyperlink w:anchor="fig_S24" w:history="1">
        <w:r>
          <w:rPr>
            <w:b/>
            <w:i w:val="0"/>
            <w:color w:val="1F5FA8"/>
            <w:sz w:val="20"/>
          </w:rPr>
          <w:t>S24</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633563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633563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variants/10</w:t>
      </w:r>
      <w:r>
        <w:rPr>
          <w:i w:val="0"/>
          <w:sz w:val="20"/>
          <w:vertAlign w:val="superscript"/>
        </w:rPr>
        <w:t>5</w:t>
      </w:r>
      <w:r>
        <w:rPr>
          <w:b w:val="0"/>
          <w:i w:val="0"/>
          <w:sz w:val="20"/>
        </w:rPr>
        <w:t xml:space="preserve"> analyzed bases; circles, libraries; triangles, no calls. J</w:t>
      </w:r>
      <w:r>
        <w:rPr>
          <w:i w:val="0"/>
          <w:sz w:val="20"/>
          <w:vertAlign w:val="subscript"/>
        </w:rPr>
        <w:t>H</w:t>
      </w:r>
      <w:r>
        <w:rPr>
          <w:b w:val="0"/>
          <w:i w:val="0"/>
          <w:sz w:val="20"/>
        </w:rPr>
        <w:t>4: three mice/genotype; N114: three subclones/arm, 500 reads/library. External Sμ/</w:t>
      </w:r>
      <w:r>
        <w:rPr>
          <w:i/>
          <w:sz w:val="20"/>
        </w:rPr>
        <w:t>Pim1</w:t>
      </w:r>
      <w:r>
        <w:rPr>
          <w:b w:val="0"/>
          <w:i w:val="0"/>
          <w:sz w:val="20"/>
        </w:rPr>
        <w:t xml:space="preserve">: 3–4 case and three null libraries, 2,000 reads each. Welch tests on log density compare case/null per caller, Holm-adjusted across five callers/panel. Zero-call tests use one event/library exposure. ns, not significant; *p&lt;0.05; **p&lt;0.01; ***p&lt;0.001. </w:t>
      </w:r>
      <w:r>
        <w:rPr>
          <w:b w:val="0"/>
          <w:i w:val="0"/>
          <w:sz w:val="20"/>
        </w:rPr>
        <w:t>(</w:t>
      </w:r>
      <w:r>
        <w:rPr>
          <w:b/>
          <w:i w:val="0"/>
          <w:sz w:val="20"/>
        </w:rPr>
        <w:t>F</w:t>
      </w:r>
      <w:r>
        <w:rPr>
          <w:b w:val="0"/>
          <w:i w:val="0"/>
          <w:sz w:val="20"/>
        </w:rPr>
        <w:t>)</w:t>
      </w:r>
      <w:r>
        <w:rPr>
          <w:b w:val="0"/>
          <w:i w:val="0"/>
          <w:sz w:val="20"/>
        </w:rPr>
        <w:t xml:space="preserve"> Geometric-mean case/null separation with the same zero convention; OT1/OT2 denote off-targets 1/2; their Wt and double-knockout groups are separate (n=3 each). </w:t>
      </w:r>
      <w:r>
        <w:rPr>
          <w:b w:val="0"/>
          <w:i w:val="0"/>
          <w:sz w:val="20"/>
        </w:rPr>
        <w:t>(</w:t>
      </w:r>
      <w:r>
        <w:rPr>
          <w:b/>
          <w:i w:val="0"/>
          <w:sz w:val="20"/>
        </w:rPr>
        <w:t>G</w:t>
      </w:r>
      <w:r>
        <w:rPr>
          <w:b w:val="0"/>
          <w:i w:val="0"/>
          <w:sz w:val="20"/>
        </w:rPr>
        <w:t>)</w:t>
      </w:r>
      <w:r>
        <w:rPr>
          <w:b w:val="0"/>
          <w:i w:val="0"/>
          <w:sz w:val="20"/>
        </w:rPr>
        <w:t xml:space="preserve"> Total calls in three controls/assay. </w:t>
      </w:r>
      <w:r>
        <w:rPr>
          <w:b w:val="0"/>
          <w:i w:val="0"/>
          <w:sz w:val="20"/>
        </w:rPr>
        <w:t>(</w:t>
      </w:r>
      <w:r>
        <w:rPr>
          <w:b/>
          <w:i w:val="0"/>
          <w:sz w:val="20"/>
        </w:rPr>
        <w:t>H</w:t>
      </w:r>
      <w:r>
        <w:rPr>
          <w:b w:val="0"/>
          <w:i w:val="0"/>
          <w:sz w:val="20"/>
        </w:rPr>
        <w:t>)</w:t>
      </w:r>
      <w:r>
        <w:rPr>
          <w:b w:val="0"/>
          <w:i w:val="0"/>
          <w:sz w:val="20"/>
        </w:rPr>
        <w:t xml:space="preserve"> Held-out candidate tests with p&lt;0.01 versus error margin; dotted line, 1%. (I) Delivered-read disposition. Panels use peer-control caller-comparison calibration; off-target Results use production-project calibration, so counts can differ (STAR Methods). See </w:t>
      </w:r>
      <w:hyperlink w:anchor="fig_S9" w:history="1">
        <w:r>
          <w:rPr>
            <w:b/>
            <w:i w:val="0"/>
            <w:color w:val="1F5FA8"/>
            <w:sz w:val="20"/>
          </w:rPr>
          <w:t>Figures S9</w:t>
        </w:r>
      </w:hyperlink>
      <w:r>
        <w:rPr>
          <w:b/>
          <w:i w:val="0"/>
          <w:sz w:val="20"/>
        </w:rPr>
        <w:t>–</w:t>
      </w:r>
      <w:hyperlink w:anchor="fig_S11" w:history="1">
        <w:r>
          <w:rPr>
            <w:b/>
            <w:i w:val="0"/>
            <w:color w:val="1F5FA8"/>
            <w:sz w:val="20"/>
          </w:rPr>
          <w:t>S11</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Matched 529-bp data from three Wt and three null mice</w:t>
      </w:r>
      <w:hyperlink w:anchor="ref_36" w:history="1">
        <w:r>
          <w:rPr>
            <w:i w:val="0"/>
            <w:color w:val="1F5FA8"/>
            <w:sz w:val="20"/>
            <w:vertAlign w:val="superscript"/>
          </w:rPr>
          <w:t>36</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Within-platform densities; 26–40 Sanger clones/Wt mouse and 500 nanopore reads. Bars, geometric means; p, log-Welch. Nanopore zeros use one event. Densities are distinct platform-specific endpoints. </w:t>
      </w:r>
      <w:r>
        <w:rPr>
          <w:b w:val="0"/>
          <w:i w:val="0"/>
          <w:sz w:val="20"/>
        </w:rPr>
        <w:t>(</w:t>
      </w:r>
      <w:r>
        <w:rPr>
          <w:b/>
          <w:i w:val="0"/>
          <w:sz w:val="20"/>
        </w:rPr>
        <w:t>B</w:t>
      </w:r>
      <w:r>
        <w:rPr>
          <w:b w:val="0"/>
          <w:i w:val="0"/>
          <w:sz w:val="20"/>
        </w:rPr>
        <w:t>)</w:t>
      </w:r>
      <w:r>
        <w:rPr>
          <w:b w:val="0"/>
          <w:i w:val="0"/>
          <w:sz w:val="20"/>
        </w:rPr>
        <w:t xml:space="preserve"> Pooled twelve-type shares (471 Sanger/638 nanopore calls), without composition adjustment; dashed line, identity; r, descriptive correlation. </w:t>
      </w:r>
      <w:r>
        <w:rPr>
          <w:b w:val="0"/>
          <w:i w:val="0"/>
          <w:sz w:val="20"/>
        </w:rPr>
        <w:t>(</w:t>
      </w:r>
      <w:r>
        <w:rPr>
          <w:b/>
          <w:i w:val="0"/>
          <w:sz w:val="20"/>
        </w:rPr>
        <w:t>C</w:t>
      </w:r>
      <w:r>
        <w:rPr>
          <w:b w:val="0"/>
          <w:i w:val="0"/>
          <w:sz w:val="20"/>
        </w:rPr>
        <w:t>)</w:t>
      </w:r>
      <w:r>
        <w:rPr>
          <w:b w:val="0"/>
          <w:i w:val="0"/>
          <w:sz w:val="20"/>
        </w:rPr>
        <w:t xml:space="preserve"> Four classes by mouse; bars, mean±SD; shapes identify mice. Platform×type testing uses all twelve types, matched by mouse. </w:t>
      </w:r>
      <w:r>
        <w:rPr>
          <w:b w:val="0"/>
          <w:i w:val="0"/>
          <w:sz w:val="20"/>
        </w:rPr>
        <w:t>(</w:t>
      </w:r>
      <w:r>
        <w:rPr>
          <w:b/>
          <w:i w:val="0"/>
          <w:sz w:val="20"/>
        </w:rPr>
        <w:t>D</w:t>
      </w:r>
      <w:r>
        <w:rPr>
          <w:b w:val="0"/>
          <w:i w:val="0"/>
          <w:sz w:val="20"/>
        </w:rPr>
        <w:t>)</w:t>
      </w:r>
      <w:r>
        <w:rPr>
          <w:b w:val="0"/>
          <w:i w:val="0"/>
          <w:sz w:val="20"/>
        </w:rPr>
        <w:t xml:space="preserve"> Positional shares in 25-bp bins, with the final four-base interval marked separately. </w:t>
      </w:r>
      <w:r>
        <w:rPr>
          <w:b w:val="0"/>
          <w:i w:val="0"/>
          <w:sz w:val="20"/>
        </w:rPr>
        <w:t>(</w:t>
      </w:r>
      <w:r>
        <w:rPr>
          <w:b/>
          <w:i w:val="0"/>
          <w:sz w:val="20"/>
        </w:rPr>
        <w:t>E</w:t>
      </w:r>
      <w:r>
        <w:rPr>
          <w:b w:val="0"/>
          <w:i w:val="0"/>
          <w:sz w:val="20"/>
        </w:rPr>
        <w:t>)</w:t>
      </w:r>
      <w:r>
        <w:rPr>
          <w:b w:val="0"/>
          <w:i w:val="0"/>
          <w:sz w:val="20"/>
        </w:rPr>
        <w:t xml:space="preserve"> WRC/GYW use among G:C calls and WA/TW among A:T calls; bars, mouse means; points, mice; dashed lines, sequence opportunities. See </w:t>
      </w:r>
      <w:hyperlink w:anchor="fig_S13" w:history="1">
        <w:r>
          <w:rPr>
            <w:b/>
            <w:i w:val="0"/>
            <w:color w:val="1F5FA8"/>
            <w:sz w:val="20"/>
          </w:rPr>
          <w:t>Figures S13</w:t>
        </w:r>
      </w:hyperlink>
      <w:r>
        <w:rPr>
          <w:b/>
          <w:i w:val="0"/>
          <w:sz w:val="20"/>
        </w:rPr>
        <w:t>–</w:t>
      </w:r>
      <w:hyperlink w:anchor="fig_S16" w:history="1">
        <w:r>
          <w:rPr>
            <w:b/>
            <w:i w:val="0"/>
            <w:color w:val="1F5FA8"/>
            <w:sz w:val="20"/>
          </w:rPr>
          <w:t>S16</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247632"/>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247632"/>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variants/10</w:t>
      </w:r>
      <w:r>
        <w:rPr>
          <w:i w:val="0"/>
          <w:sz w:val="20"/>
          <w:vertAlign w:val="superscript"/>
        </w:rPr>
        <w:t>5</w:t>
      </w:r>
      <w:r>
        <w:rPr>
          <w:b w:val="0"/>
          <w:i w:val="0"/>
          <w:sz w:val="20"/>
        </w:rPr>
        <w:t xml:space="preserve"> bases in 50-bp bins, positions 90–1,230; thin lines, Wt mice; thick lines, genotype means, n=3 each. Shading, Sanger window. </w:t>
      </w:r>
      <w:r>
        <w:rPr>
          <w:b w:val="0"/>
          <w:i w:val="0"/>
          <w:sz w:val="20"/>
        </w:rPr>
        <w:t>(</w:t>
      </w:r>
      <w:r>
        <w:rPr>
          <w:b/>
          <w:i w:val="0"/>
          <w:sz w:val="20"/>
        </w:rPr>
        <w:t>B</w:t>
      </w:r>
      <w:r>
        <w:rPr>
          <w:b w:val="0"/>
          <w:i w:val="0"/>
          <w:sz w:val="20"/>
        </w:rPr>
        <w:t>)</w:t>
      </w:r>
      <w:r>
        <w:rPr>
          <w:b w:val="0"/>
          <w:i w:val="0"/>
          <w:sz w:val="20"/>
        </w:rPr>
        <w:t xml:space="preserve"> Calls by S5F mutability quintile, normalized to each series' mean: Wt calls versus germline-excluded null mismatches. Targeting indices use permutation tests. </w:t>
      </w:r>
      <w:r>
        <w:rPr>
          <w:b w:val="0"/>
          <w:i w:val="0"/>
          <w:sz w:val="20"/>
        </w:rPr>
        <w:t>(</w:t>
      </w:r>
      <w:r>
        <w:rPr>
          <w:b/>
          <w:i w:val="0"/>
          <w:sz w:val="20"/>
        </w:rPr>
        <w:t>C</w:t>
      </w:r>
      <w:r>
        <w:rPr>
          <w:b w:val="0"/>
          <w:i w:val="0"/>
          <w:sz w:val="20"/>
        </w:rPr>
        <w:t>)</w:t>
      </w:r>
      <w:r>
        <w:rPr>
          <w:b w:val="0"/>
          <w:i w:val="0"/>
          <w:sz w:val="20"/>
        </w:rPr>
        <w:t xml:space="preserve"> Junction-defined lineages among 500 reads/mouse: dark, largest; light, others; hatching, unassigned. Frequencies are read- and majority-rule clone-weighted. </w:t>
      </w:r>
      <w:r>
        <w:rPr>
          <w:b w:val="0"/>
          <w:i w:val="0"/>
          <w:sz w:val="20"/>
        </w:rPr>
        <w:t>(</w:t>
      </w:r>
      <w:r>
        <w:rPr>
          <w:b/>
          <w:i w:val="0"/>
          <w:sz w:val="20"/>
        </w:rPr>
        <w:t>D</w:t>
      </w:r>
      <w:r>
        <w:rPr>
          <w:b w:val="0"/>
          <w:i w:val="0"/>
          <w:sz w:val="20"/>
        </w:rPr>
        <w:t>)</w:t>
      </w:r>
      <w:r>
        <w:rPr>
          <w:b w:val="0"/>
          <w:i w:val="0"/>
          <w:sz w:val="20"/>
        </w:rPr>
        <w:t xml:space="preserve"> Largest Wt3 lineage: square, reference; ticks, substitution classes; node sizes/counts, nested read support; distance, accumulated mutations. Forty-eight of 69 reads fit one tree; 21 are incompatible. This is a read reconstruction, not proven cellular ancestry. See </w:t>
      </w:r>
      <w:hyperlink w:anchor="fig_S17" w:history="1">
        <w:r>
          <w:rPr>
            <w:b/>
            <w:i w:val="0"/>
            <w:color w:val="1F5FA8"/>
            <w:sz w:val="20"/>
          </w:rPr>
          <w:t>Figure S17</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031212"/>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Illumina J</w:t>
      </w:r>
      <w:r>
        <w:rPr>
          <w:i w:val="0"/>
          <w:sz w:val="20"/>
          <w:vertAlign w:val="subscript"/>
        </w:rPr>
        <w:t>H</w:t>
      </w:r>
      <w:r>
        <w:rPr>
          <w:b w:val="0"/>
          <w:i w:val="0"/>
          <w:sz w:val="20"/>
        </w:rPr>
        <w:t xml:space="preserve">4 frequencies (PRJNA973112); points, mice; triangles, no calls; bars, geometric means with one-event zero floors. Tests: log-Welch versus null; Mann–Whitney for </w:t>
      </w:r>
      <w:r>
        <w:rPr>
          <w:i/>
          <w:sz w:val="20"/>
        </w:rPr>
        <w:t>Ldha</w:t>
      </w:r>
      <w:r>
        <w:rPr>
          <w:b w:val="0"/>
          <w:i w:val="0"/>
          <w:sz w:val="20"/>
        </w:rPr>
        <w:t xml:space="preserve">/Wt.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expressing AID variants or empty vector (PRJNA918596), n=4/arm; display as A. </w:t>
      </w:r>
      <w:r>
        <w:rPr>
          <w:b w:val="0"/>
          <w:i w:val="0"/>
          <w:sz w:val="20"/>
        </w:rPr>
        <w:t>(</w:t>
      </w:r>
      <w:r>
        <w:rPr>
          <w:b/>
          <w:i w:val="0"/>
          <w:sz w:val="20"/>
        </w:rPr>
        <w:t>C</w:t>
      </w:r>
      <w:r>
        <w:rPr>
          <w:b w:val="0"/>
          <w:i w:val="0"/>
          <w:sz w:val="20"/>
        </w:rPr>
        <w:t>)</w:t>
      </w:r>
      <w:r>
        <w:rPr>
          <w:b w:val="0"/>
          <w:i w:val="0"/>
          <w:sz w:val="20"/>
        </w:rPr>
        <w:t xml:space="preserve"> Substitution classes and S5F indices; n counts calls. </w:t>
      </w:r>
      <w:r>
        <w:rPr>
          <w:b w:val="0"/>
          <w:i w:val="0"/>
          <w:sz w:val="20"/>
        </w:rPr>
        <w:t>(</w:t>
      </w:r>
      <w:r>
        <w:rPr>
          <w:b/>
          <w:i w:val="0"/>
          <w:sz w:val="20"/>
        </w:rPr>
        <w:t>D</w:t>
      </w:r>
      <w:r>
        <w:rPr>
          <w:b w:val="0"/>
          <w:i w:val="0"/>
          <w:sz w:val="20"/>
        </w:rPr>
        <w:t>)</w:t>
      </w:r>
      <w:r>
        <w:rPr>
          <w:b w:val="0"/>
          <w:i w:val="0"/>
          <w:sz w:val="20"/>
        </w:rPr>
        <w:t xml:space="preserve"> Ramos indels at 20,000 reads/clone (PRJNA820976); n=6 Wt/HMCES-KO and 3 AID-KO; bars, means. </w:t>
      </w:r>
      <w:r>
        <w:rPr>
          <w:b w:val="0"/>
          <w:i w:val="0"/>
          <w:sz w:val="20"/>
        </w:rPr>
        <w:t>(</w:t>
      </w:r>
      <w:r>
        <w:rPr>
          <w:b/>
          <w:i w:val="0"/>
          <w:sz w:val="20"/>
        </w:rPr>
        <w:t>E</w:t>
      </w:r>
      <w:r>
        <w:rPr>
          <w:b w:val="0"/>
          <w:i w:val="0"/>
          <w:sz w:val="20"/>
        </w:rPr>
        <w:t>)</w:t>
      </w:r>
      <w:r>
        <w:rPr>
          <w:b w:val="0"/>
          <w:i w:val="0"/>
          <w:sz w:val="20"/>
        </w:rPr>
        <w:t xml:space="preserve"> Paired mOrange repair arms across three experiments (PRJNA170048): circles, SHMtrace; squares, active-AID raw Q&gt;20 mismatches; crosses, inactive-AID raw mismatches. Empty-arm inactive-AID libraries calibrate calling; 4–40 calls/library give coarse shares.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5" w:history="1">
              <w:r>
                <w:rPr>
                  <w:i w:val="0"/>
                  <w:color w:val="1F5FA8"/>
                  <w:sz w:val="16"/>
                  <w:vertAlign w:val="superscript"/>
                </w:rPr>
                <w:t>35</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9" w:history="1">
              <w:r>
                <w:rPr>
                  <w:i w:val="0"/>
                  <w:color w:val="1F5FA8"/>
                  <w:sz w:val="16"/>
                  <w:vertAlign w:val="superscript"/>
                </w:rPr>
                <w:t>49</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3" w:history="1">
              <w:r>
                <w:rPr>
                  <w:i w:val="0"/>
                  <w:color w:val="1F5FA8"/>
                  <w:sz w:val="16"/>
                  <w:vertAlign w:val="superscript"/>
                </w:rPr>
                <w:t>33</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50" w:history="1">
              <w:r>
                <w:rPr>
                  <w:i w:val="0"/>
                  <w:color w:val="1F5FA8"/>
                  <w:sz w:val="16"/>
                  <w:vertAlign w:val="superscript"/>
                </w:rPr>
                <w:t>50</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6" w:history="1">
        <w:r>
          <w:rPr>
            <w:i w:val="0"/>
            <w:color w:val="1F5FA8"/>
            <w:vertAlign w:val="superscript"/>
          </w:rPr>
          <w:t>36</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7" w:history="1">
        <w:r>
          <w:rPr>
            <w:i w:val="0"/>
            <w:color w:val="1F5FA8"/>
            <w:vertAlign w:val="superscript"/>
          </w:rPr>
          <w:t>47</w:t>
        </w:r>
      </w:hyperlink>
      <w:r>
        <w:rPr>
          <w:i w:val="0"/>
          <w:vertAlign w:val="superscript"/>
        </w:rPr>
        <w:t>,</w:t>
      </w:r>
      <w:hyperlink w:anchor="ref_51" w:history="1">
        <w:r>
          <w:rPr>
            <w:i w:val="0"/>
            <w:color w:val="1F5FA8"/>
            <w:vertAlign w:val="superscript"/>
          </w:rPr>
          <w:t>51</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7" w:history="1">
        <w:r>
          <w:rPr>
            <w:i w:val="0"/>
            <w:color w:val="1F5FA8"/>
            <w:vertAlign w:val="superscript"/>
          </w:rPr>
          <w:t>47</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5" w:history="1">
        <w:r>
          <w:rPr>
            <w:i w:val="0"/>
            <w:color w:val="1F5FA8"/>
            <w:vertAlign w:val="superscript"/>
          </w:rPr>
          <w:t>35</w:t>
        </w:r>
      </w:hyperlink>
      <w:r>
        <w:rPr>
          <w:b w:val="0"/>
          <w:i w:val="0"/>
        </w:rPr>
        <w:t xml:space="preserve"> and the 655-bp N114 V-region amplicon</w:t>
      </w:r>
      <w:hyperlink w:anchor="ref_47" w:history="1">
        <w:r>
          <w:rPr>
            <w:i w:val="0"/>
            <w:color w:val="1F5FA8"/>
            <w:vertAlign w:val="superscript"/>
          </w:rPr>
          <w:t>47</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6" w:history="1">
        <w:r>
          <w:rPr>
            <w:i w:val="0"/>
            <w:color w:val="1F5FA8"/>
            <w:vertAlign w:val="superscript"/>
          </w:rPr>
          <w:t>36</w:t>
        </w:r>
      </w:hyperlink>
      <w:r>
        <w:rPr>
          <w:b w:val="0"/>
          <w:i w:val="0"/>
        </w:rPr>
        <w:t>. Of the 447 chromatograms in that archive, which also covers other mice of that study, 184 were filed to the six mice sequenced here and re-analyzed; 134 returned analyzable clones (</w:t>
      </w:r>
      <w:hyperlink w:anchor="fig_S13" w:history="1">
        <w:r>
          <w:rPr>
            <w:b w:val="0"/>
            <w:i w:val="0"/>
            <w:color w:val="1F5FA8"/>
          </w:rPr>
          <w:t>Figure S13</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31" w:history="1">
        <w:r>
          <w:rPr>
            <w:i w:val="0"/>
            <w:color w:val="1F5FA8"/>
            <w:vertAlign w:val="superscript"/>
          </w:rPr>
          <w:t>31</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4" w:history="1">
        <w:r>
          <w:rPr>
            <w:b w:val="0"/>
            <w:i w:val="0"/>
            <w:color w:val="1F5FA8"/>
          </w:rPr>
          <w:t>Figure S24</w:t>
        </w:r>
      </w:hyperlink>
      <w:r>
        <w:rPr>
          <w:b w:val="0"/>
          <w:i w:val="0"/>
        </w:rPr>
        <w:t xml:space="preserve"> tests selected consequences of these limitations, and </w:t>
      </w:r>
      <w:hyperlink w:anchor="fig_S4" w:history="1">
        <w:r>
          <w:rPr>
            <w:b w:val="0"/>
            <w:i w:val="0"/>
            <w:color w:val="1F5FA8"/>
          </w:rPr>
          <w:t>Figure S4</w:t>
        </w:r>
      </w:hyperlink>
      <w:r>
        <w:rPr>
          <w:b w:val="0"/>
          <w:i w:val="0"/>
        </w:rPr>
        <w:t xml:space="preserve"> compares the target with the realised proportion on planted truth: the default was met when pooled, and targets below it were not; </w:t>
      </w:r>
      <w:hyperlink w:anchor="fig_S5" w:history="1">
        <w:r>
          <w:rPr>
            <w:b w:val="0"/>
            <w:i w:val="0"/>
            <w:color w:val="1F5FA8"/>
          </w:rPr>
          <w:t>Figure S5</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4" w:history="1">
        <w:r>
          <w:rPr>
            <w:b w:val="0"/>
            <w:i w:val="0"/>
            <w:color w:val="1F5FA8"/>
          </w:rPr>
          <w:t>Figure S24</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0" w:history="1">
        <w:r>
          <w:rPr>
            <w:b w:val="0"/>
            <w:i w:val="0"/>
            <w:color w:val="1F5FA8"/>
          </w:rPr>
          <w:t>Figure S10</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2" w:history="1">
        <w:r>
          <w:rPr>
            <w:b w:val="0"/>
            <w:i w:val="0"/>
            <w:color w:val="1F5FA8"/>
          </w:rPr>
          <w:t>Figure S22</w:t>
        </w:r>
      </w:hyperlink>
      <w:r>
        <w:rPr>
          <w:b w:val="0"/>
          <w:i w:val="0"/>
        </w:rPr>
        <w:t xml:space="preserve"> summarizes the workflow; </w:t>
      </w:r>
      <w:hyperlink w:anchor="fig_S23" w:history="1">
        <w:r>
          <w:rPr>
            <w:b w:val="0"/>
            <w:i w:val="0"/>
            <w:color w:val="1F5FA8"/>
          </w:rPr>
          <w:t>Figure S23</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5" w:history="1">
        <w:r>
          <w:rPr>
            <w:i w:val="0"/>
            <w:color w:val="1F5FA8"/>
            <w:vertAlign w:val="superscript"/>
          </w:rPr>
          <w:t>35</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6" w:history="1">
        <w:r>
          <w:rPr>
            <w:i w:val="0"/>
            <w:color w:val="1F5FA8"/>
            <w:vertAlign w:val="superscript"/>
          </w:rPr>
          <w:t>36</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7" w:history="1">
        <w:r>
          <w:rPr>
            <w:i w:val="0"/>
            <w:color w:val="1F5FA8"/>
            <w:vertAlign w:val="superscript"/>
          </w:rPr>
          <w:t>37</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3" w:history="1">
        <w:r>
          <w:rPr>
            <w:b w:val="0"/>
            <w:i w:val="0"/>
            <w:color w:val="1F5FA8"/>
          </w:rPr>
          <w:t>Figure 3E</w:t>
        </w:r>
      </w:hyperlink>
      <w:r>
        <w:rPr>
          <w:b w:val="0"/>
          <w:i w:val="0"/>
        </w:rP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r>
        <w:rPr>
          <w:b w:val="0"/>
          <w:i w:val="0"/>
        </w:rPr>
        <w:t>For the matched-platform comparison, 184 traces were assigned to the six mice, 2 excluded in the sample sheet and 182 processed; 48 failed analysis and 134 were retained (</w:t>
      </w:r>
      <w:hyperlink w:anchor="fig_S13" w:history="1">
        <w:r>
          <w:rPr>
            <w:b w:val="0"/>
            <w:i w:val="0"/>
            <w:color w:val="1F5FA8"/>
          </w:rPr>
          <w:t>Figure S13</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For </w:t>
      </w:r>
      <w:hyperlink w:anchor="fig_S4" w:history="1">
        <w:r>
          <w:rPr>
            <w:b w:val="0"/>
            <w:i w:val="0"/>
            <w:color w:val="1F5FA8"/>
          </w:rPr>
          <w:t>Figure S4</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5" w:history="1">
        <w:r>
          <w:rPr>
            <w:b w:val="0"/>
            <w:i w:val="0"/>
            <w:color w:val="1F5FA8"/>
          </w:rPr>
          <w:t>Figure S5</w:t>
        </w:r>
      </w:hyperlink>
      <w:r>
        <w:rPr>
          <w:b w:val="0"/>
          <w:i w:val="0"/>
        </w:rPr>
        <w:t xml:space="preserve"> (</w:t>
      </w:r>
      <w:r>
        <w:rPr>
          <w:rFonts w:ascii="Courier New" w:hAnsi="Courier New"/>
          <w:sz w:val="20"/>
        </w:rPr>
        <w:t>crm/controls_design.py</w:t>
      </w:r>
      <w:r>
        <w:rPr>
          <w:b w:val="0"/>
          <w:i w:val="0"/>
        </w:rPr>
        <w:t xml:space="preserve">), the validation libraries of </w:t>
      </w:r>
      <w:hyperlink w:anchor="fig_S24" w:history="1">
        <w:r>
          <w:rPr>
            <w:b w:val="0"/>
            <w:i w:val="0"/>
            <w:color w:val="1F5FA8"/>
          </w:rPr>
          <w:t>Figure S24</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2" w:history="1">
        <w:r>
          <w:rPr>
            <w:b w:val="0"/>
            <w:i w:val="0"/>
            <w:color w:val="1F5FA8"/>
          </w:rPr>
          <w:t>Figure S12</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1" w:history="1">
        <w:r>
          <w:rPr>
            <w:b w:val="0"/>
            <w:i w:val="0"/>
            <w:color w:val="1F5FA8"/>
          </w:rPr>
          <w:t>Figure S21</w:t>
        </w:r>
      </w:hyperlink>
      <w:r>
        <w:rPr>
          <w:b w:val="0"/>
          <w:i w:val="0"/>
        </w:rP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1" w:history="1">
        <w:r>
          <w:rPr>
            <w:i w:val="0"/>
            <w:color w:val="1F5FA8"/>
            <w:vertAlign w:val="superscript"/>
          </w:rPr>
          <w:t>41</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6" w:history="1">
        <w:r>
          <w:rPr>
            <w:i w:val="0"/>
            <w:color w:val="1F5FA8"/>
            <w:vertAlign w:val="superscript"/>
          </w:rPr>
          <w:t>46</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8" w:history="1">
        <w:r>
          <w:rPr>
            <w:b w:val="0"/>
            <w:i w:val="0"/>
            <w:color w:val="1F5FA8"/>
          </w:rPr>
          <w:t>Figure S18A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3" w:history="1">
        <w:r>
          <w:rPr>
            <w:i w:val="0"/>
            <w:color w:val="1F5FA8"/>
            <w:vertAlign w:val="superscript"/>
          </w:rPr>
          <w:t>43</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4" w:history="1">
        <w:r>
          <w:rPr>
            <w:i w:val="0"/>
            <w:color w:val="1F5FA8"/>
            <w:vertAlign w:val="superscript"/>
          </w:rPr>
          <w:t>44</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5" w:history="1">
        <w:r>
          <w:rPr>
            <w:i w:val="0"/>
            <w:color w:val="1F5FA8"/>
            <w:vertAlign w:val="superscript"/>
          </w:rPr>
          <w:t>45</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3" w:history="1">
        <w:r>
          <w:rPr>
            <w:b w:val="0"/>
            <w:i w:val="0"/>
            <w:color w:val="1F5FA8"/>
          </w:rPr>
          <w:t>Figure 3H</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3" w:history="1">
        <w:r>
          <w:rPr>
            <w:b w:val="0"/>
            <w:i w:val="0"/>
            <w:color w:val="1F5FA8"/>
          </w:rPr>
          <w:t>Figure 3H</w:t>
        </w:r>
      </w:hyperlink>
      <w:r>
        <w:rPr>
          <w:b w:val="0"/>
          <w:i w:val="0"/>
        </w:rPr>
        <w:t xml:space="preserve"> is therefore arithmetic, not a property of the data, and it is why the Welch test is primary at these group sizes. Each cell of </w:t>
      </w:r>
      <w:hyperlink w:anchor="fig_3" w:history="1">
        <w:r>
          <w:rPr>
            <w:b w:val="0"/>
            <w:i w:val="0"/>
            <w:color w:val="1F5FA8"/>
          </w:rPr>
          <w:t>Figure 3H</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50" w:history="1">
        <w:r>
          <w:rPr>
            <w:i w:val="0"/>
            <w:color w:val="1F5FA8"/>
            <w:vertAlign w:val="superscript"/>
          </w:rPr>
          <w:t>50</w:t>
        </w:r>
      </w:hyperlink>
      <w:r>
        <w:rPr>
          <w:b w:val="0"/>
          <w:i w:val="0"/>
        </w:rPr>
        <w:t>.</w:t>
      </w:r>
    </w:p>
    <w:p>
      <w:pPr>
        <w:keepNext/>
        <w:pageBreakBefore/>
        <w:spacing w:before="240"/>
      </w:pPr>
      <w:r>
        <w:rPr>
          <w:b/>
          <w:i w:val="0"/>
          <w:sz w:val="26"/>
        </w:rPr>
        <w:t>Document S1. Supplemental figures and tables</w:t>
      </w:r>
    </w:p>
    <w:p>
      <w:pPr>
        <w:keepNext/>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 What became of every delivered read is in </w:t>
      </w:r>
      <w:hyperlink w:anchor="fig_4" w:history="1">
        <w:r>
          <w:rPr>
            <w:b/>
            <w:i w:val="0"/>
            <w:color w:val="1F5FA8"/>
            <w:sz w:val="20"/>
          </w:rPr>
          <w:t>Figure 4I</w:t>
        </w:r>
      </w:hyperlink>
      <w:r>
        <w:rPr>
          <w:b w:val="0"/>
          <w:i w:val="0"/>
          <w:sz w:val="20"/>
        </w:rPr>
        <w:t xml:space="preserve">.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6782099"/>
            <wp:docPr id="9" name="Picture 9"/>
            <wp:cNvGraphicFramePr>
              <a:graphicFrameLocks noChangeAspect="1"/>
            </wp:cNvGraphicFramePr>
            <a:graphic>
              <a:graphicData uri="http://schemas.openxmlformats.org/drawingml/2006/picture">
                <pic:pic>
                  <pic:nvPicPr>
                    <pic:cNvPr id="0" name="FigureS2.png"/>
                    <pic:cNvPicPr/>
                  </pic:nvPicPr>
                  <pic:blipFill>
                    <a:blip r:embed="rId18"/>
                    <a:stretch>
                      <a:fillRect/>
                    </a:stretch>
                  </pic:blipFill>
                  <pic:spPr>
                    <a:xfrm>
                      <a:off x="0" y="0"/>
                      <a:ext cx="6264000" cy="6782099"/>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A reported base quality is a prediction, and this is how far it holds at each of the four nanopore loci. Top,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Bottom,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6157009"/>
            <wp:docPr id="10" name="Picture 10"/>
            <wp:cNvGraphicFramePr>
              <a:graphicFrameLocks noChangeAspect="1"/>
            </wp:cNvGraphicFramePr>
            <a:graphic>
              <a:graphicData uri="http://schemas.openxmlformats.org/drawingml/2006/picture">
                <pic:pic>
                  <pic:nvPicPr>
                    <pic:cNvPr id="0" name="FigureS3_outputs_preview.png"/>
                    <pic:cNvPicPr/>
                  </pic:nvPicPr>
                  <pic:blipFill>
                    <a:blip r:embed="rId19"/>
                    <a:stretch>
                      <a:fillRect/>
                    </a:stretch>
                  </pic:blipFill>
                  <pic:spPr>
                    <a:xfrm>
                      <a:off x="0" y="0"/>
                      <a:ext cx="6264000" cy="6157009"/>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other figures of each group are listed by file name.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w:t>
      </w:r>
      <w:r>
        <w:rPr>
          <w:b w:val="0"/>
          <w:i w:val="0"/>
          <w:sz w:val="20"/>
        </w:rPr>
        <w:t>(</w:t>
      </w:r>
      <w:r>
        <w:rPr>
          <w:b/>
          <w:i w:val="0"/>
          <w:sz w:val="20"/>
        </w:rPr>
        <w:t>D</w:t>
      </w:r>
      <w:r>
        <w:rPr>
          <w:b w:val="0"/>
          <w:i w:val="0"/>
          <w:sz w:val="20"/>
        </w:rPr>
        <w:t>)</w:t>
      </w:r>
      <w:r>
        <w:rPr>
          <w:b w:val="0"/>
          <w:i w:val="0"/>
          <w:sz w:val="20"/>
        </w:rPr>
        <w:t xml:space="preserve">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1" name="Picture 11"/>
            <wp:cNvGraphicFramePr>
              <a:graphicFrameLocks noChangeAspect="1"/>
            </wp:cNvGraphicFramePr>
            <a:graphic>
              <a:graphicData uri="http://schemas.openxmlformats.org/drawingml/2006/picture">
                <pic:pic>
                  <pic:nvPicPr>
                    <pic:cNvPr id="0" name="FigureS4_fdr_calibration.png"/>
                    <pic:cNvPicPr/>
                  </pic:nvPicPr>
                  <pic:blipFill>
                    <a:blip r:embed="rId20"/>
                    <a:stretch>
                      <a:fillRect/>
                    </a:stretch>
                  </pic:blipFill>
                  <pic:spPr>
                    <a:xfrm>
                      <a:off x="0" y="0"/>
                      <a:ext cx="6264000" cy="2231264"/>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agreement; shading, over target; a pooled proportion of zero is drawn on the 0 row.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2" name="Picture 12"/>
            <wp:cNvGraphicFramePr>
              <a:graphicFrameLocks noChangeAspect="1"/>
            </wp:cNvGraphicFramePr>
            <a:graphic>
              <a:graphicData uri="http://schemas.openxmlformats.org/drawingml/2006/picture">
                <pic:pic>
                  <pic:nvPicPr>
                    <pic:cNvPr id="0" name="FigureS5_controls.png"/>
                    <pic:cNvPicPr/>
                  </pic:nvPicPr>
                  <pic:blipFill>
                    <a:blip r:embed="rId21"/>
                    <a:stretch>
                      <a:fillRect/>
                    </a:stretch>
                  </pic:blipFill>
                  <pic:spPr>
                    <a:xfrm>
                      <a:off x="0" y="0"/>
                      <a:ext cx="6264000" cy="2302896"/>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3" name="Picture 13"/>
            <wp:cNvGraphicFramePr>
              <a:graphicFrameLocks noChangeAspect="1"/>
            </wp:cNvGraphicFramePr>
            <a:graphic>
              <a:graphicData uri="http://schemas.openxmlformats.org/drawingml/2006/picture">
                <pic:pic>
                  <pic:nvPicPr>
                    <pic:cNvPr id="0" name="FigureS6_titration.png"/>
                    <pic:cNvPicPr/>
                  </pic:nvPicPr>
                  <pic:blipFill>
                    <a:blip r:embed="rId22"/>
                    <a:stretch>
                      <a:fillRect/>
                    </a:stretch>
                  </pic:blipFill>
                  <pic:spPr>
                    <a:xfrm>
                      <a:off x="0" y="0"/>
                      <a:ext cx="6264000" cy="3887947"/>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4" name="Picture 14"/>
            <wp:cNvGraphicFramePr>
              <a:graphicFrameLocks noChangeAspect="1"/>
            </wp:cNvGraphicFramePr>
            <a:graphic>
              <a:graphicData uri="http://schemas.openxmlformats.org/drawingml/2006/picture">
                <pic:pic>
                  <pic:nvPicPr>
                    <pic:cNvPr id="0" name="FigureS7_indels.png"/>
                    <pic:cNvPicPr/>
                  </pic:nvPicPr>
                  <pic:blipFill>
                    <a:blip r:embed="rId23"/>
                    <a:stretch>
                      <a:fillRect/>
                    </a:stretch>
                  </pic:blipFill>
                  <pic:spPr>
                    <a:xfrm>
                      <a:off x="0" y="0"/>
                      <a:ext cx="6264000" cy="2302896"/>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Recall below the three-read floor is zero by definition rather than by measurement (</w:t>
      </w:r>
      <w:r>
        <w:rPr>
          <w:rFonts w:ascii="Courier New" w:hAnsi="Courier New"/>
          <w:sz w:val="18"/>
        </w:rPr>
        <w:t>indel_min_reads</w:t>
      </w:r>
      <w:r>
        <w:rPr>
          <w:b w:val="0"/>
          <w:i w:val="0"/>
          <w:sz w:val="20"/>
        </w:rPr>
        <w:t xml:space="preserve">), so those counts are drawn open, on the shading, and the line starts at three reads instead of running through them.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3743159"/>
            <wp:docPr id="15" name="Picture 15"/>
            <wp:cNvGraphicFramePr>
              <a:graphicFrameLocks noChangeAspect="1"/>
            </wp:cNvGraphicFramePr>
            <a:graphic>
              <a:graphicData uri="http://schemas.openxmlformats.org/drawingml/2006/picture">
                <pic:pic>
                  <pic:nvPicPr>
                    <pic:cNvPr id="0" name="FigureS8_estimates.png"/>
                    <pic:cNvPicPr/>
                  </pic:nvPicPr>
                  <pic:blipFill>
                    <a:blip r:embed="rId24"/>
                    <a:stretch>
                      <a:fillRect/>
                    </a:stretch>
                  </pic:blipFill>
                  <pic:spPr>
                    <a:xfrm>
                      <a:off x="0" y="0"/>
                      <a:ext cx="6264000" cy="3743159"/>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Single-read estimate, power and UMI consensus, related to </w:t>
      </w:r>
      <w:hyperlink w:anchor="fig_3" w:history="1">
        <w:r>
          <w:rPr>
            <w:b/>
            <w:i w:val="0"/>
            <w:color w:val="1F5FA8"/>
            <w:sz w:val="20"/>
          </w:rPr>
          <w:t>Figure 3</w:t>
        </w:r>
      </w:hyperlink>
      <w:r>
        <w:rPr>
          <w:b/>
          <w:i w:val="0"/>
          <w:sz w:val="20"/>
        </w:rPr>
        <w:t xml:space="preserve">. </w:t>
      </w:r>
      <w:r>
        <w:rPr>
          <w:b w:val="0"/>
          <w:i w:val="0"/>
          <w:sz w:val="20"/>
        </w:rPr>
        <w:t xml:space="preserve">Four checks on what the read-library route can and cannot resolve. </w:t>
      </w:r>
      <w:r>
        <w:rPr>
          <w:b w:val="0"/>
          <w:i w:val="0"/>
          <w:sz w:val="20"/>
        </w:rPr>
        <w:t>(</w:t>
      </w:r>
      <w:r>
        <w:rPr>
          <w:b/>
          <w:i w:val="0"/>
          <w:sz w:val="20"/>
        </w:rPr>
        <w:t>A</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B</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 xml:space="preserve">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 </w:t>
      </w:r>
      <w:r>
        <w:rPr>
          <w:b w:val="0"/>
          <w:i w:val="0"/>
          <w:sz w:val="20"/>
        </w:rPr>
        <w:t>(</w:t>
      </w:r>
      <w:r>
        <w:rPr>
          <w:b/>
          <w:i w:val="0"/>
          <w:sz w:val="20"/>
        </w:rPr>
        <w:t>C</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3" w:history="1">
        <w:r>
          <w:rPr>
            <w:b/>
            <w:i w:val="0"/>
            <w:color w:val="1F5FA8"/>
            <w:sz w:val="20"/>
          </w:rPr>
          <w:t>Figure 3E</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D</w:t>
      </w:r>
      <w:r>
        <w:rPr>
          <w:b w:val="0"/>
          <w:i w:val="0"/>
          <w:sz w:val="20"/>
        </w:rPr>
        <w:t>)</w:t>
      </w:r>
      <w:r>
        <w:rPr>
          <w:b w:val="0"/>
          <w:i w:val="0"/>
          <w:sz w:val="20"/>
        </w:rPr>
        <w:t xml:space="preserve"> The same question on real data: error remaining after consensus in dual-UMI R10 reads of rRNA operons</w:t>
      </w:r>
      <w:hyperlink w:anchor="ref_41" w:history="1">
        <w:r>
          <w:rPr>
            <w:i w:val="0"/>
            <w:color w:val="1F5FA8"/>
            <w:sz w:val="20"/>
            <w:vertAlign w:val="superscript"/>
          </w:rPr>
          <w:t>41</w:t>
        </w:r>
      </w:hyperlink>
      <w:r>
        <w:rPr>
          <w:b w:val="0"/>
          <w:i w:val="0"/>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C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579025"/>
            <wp:docPr id="16" name="Picture 16"/>
            <wp:cNvGraphicFramePr>
              <a:graphicFrameLocks noChangeAspect="1"/>
            </wp:cNvGraphicFramePr>
            <a:graphic>
              <a:graphicData uri="http://schemas.openxmlformats.org/drawingml/2006/picture">
                <pic:pic>
                  <pic:nvPicPr>
                    <pic:cNvPr id="0" name="FigureS9_n114.png"/>
                    <pic:cNvPicPr/>
                  </pic:nvPicPr>
                  <pic:blipFill>
                    <a:blip r:embed="rId25"/>
                    <a:stretch>
                      <a:fillRect/>
                    </a:stretch>
                  </pic:blipFill>
                  <pic:spPr>
                    <a:xfrm>
                      <a:off x="0" y="0"/>
                      <a:ext cx="6264000" cy="2579025"/>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(page 1 of 2).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An empty-vector subclone with no call is drawn at one event on its own exposure, because a density of exactly zero cannot be placed on a logarithmic axis. </w:t>
      </w:r>
      <w:r>
        <w:rPr>
          <w:b w:val="0"/>
          <w:i w:val="0"/>
          <w:sz w:val="20"/>
        </w:rPr>
        <w:t>(</w:t>
      </w:r>
      <w:r>
        <w:rPr>
          <w:b/>
          <w:i w:val="0"/>
          <w:sz w:val="20"/>
        </w:rPr>
        <w:t>B, C</w:t>
      </w:r>
      <w:r>
        <w:rPr>
          <w:b w:val="0"/>
          <w:i w:val="0"/>
          <w:sz w:val="20"/>
        </w:rPr>
        <w:t>)</w:t>
      </w:r>
      <w:r>
        <w:rPr>
          <w:b w:val="0"/>
          <w:i w:val="0"/>
          <w:sz w:val="20"/>
        </w:rPr>
        <w:t xml:space="preserve"> Pooled From (rows) → To (columns) substitution matrices for the pMX-</w:t>
      </w:r>
      <w:r>
        <w:rPr>
          <w:i/>
          <w:sz w:val="20"/>
        </w:rPr>
        <w:t>Aicda</w:t>
      </w:r>
      <w:r>
        <w:rPr>
          <w:b w:val="0"/>
          <w:i w:val="0"/>
          <w:sz w:val="20"/>
        </w:rPr>
        <w:t xml:space="preserve"> subclones </w:t>
      </w:r>
      <w:r>
        <w:rPr>
          <w:b w:val="0"/>
          <w:i w:val="0"/>
          <w:sz w:val="20"/>
        </w:rPr>
        <w:t>(</w:t>
      </w:r>
      <w:r>
        <w:rPr>
          <w:b/>
          <w:i w:val="0"/>
          <w:sz w:val="20"/>
        </w:rPr>
        <w:t>B</w:t>
      </w:r>
      <w:r>
        <w:rPr>
          <w:b w:val="0"/>
          <w:i w:val="0"/>
          <w:sz w:val="20"/>
        </w:rPr>
        <w:t>)</w:t>
      </w:r>
      <w:r>
        <w:rPr>
          <w:b w:val="0"/>
          <w:i w:val="0"/>
          <w:sz w:val="20"/>
        </w:rPr>
        <w:t xml:space="preserve"> and the empty-vector subclones </w:t>
      </w:r>
      <w:r>
        <w:rPr>
          <w:b w:val="0"/>
          <w:i w:val="0"/>
          <w:sz w:val="20"/>
        </w:rPr>
        <w:t>(</w:t>
      </w:r>
      <w:r>
        <w:rPr>
          <w:b/>
          <w:i w:val="0"/>
          <w:sz w:val="20"/>
        </w:rPr>
        <w:t>C</w:t>
      </w:r>
      <w:r>
        <w:rPr>
          <w:b w:val="0"/>
          <w:i w:val="0"/>
          <w:sz w:val="20"/>
        </w:rPr>
        <w:t>)</w:t>
      </w:r>
      <w:r>
        <w:rPr>
          <w:b w:val="0"/>
          <w:i w:val="0"/>
          <w:sz w:val="20"/>
        </w:rPr>
        <w:t>. Each cell gives the unique-variant count and its share of that group's calls. Because N114 cells carry a fixed V-region substrate, do not undergo ongoing V</w:t>
      </w:r>
      <w:r>
        <w:rPr>
          <w:b w:val="0"/>
          <w:i w:val="0"/>
          <w:sz w:val="20"/>
        </w:rPr>
        <w:t>(</w:t>
      </w:r>
      <w:r>
        <w:rPr>
          <w:b/>
          <w:i w:val="0"/>
          <w:sz w:val="20"/>
        </w:rPr>
        <w:t>D</w:t>
      </w:r>
      <w:r>
        <w:rPr>
          <w:b w:val="0"/>
          <w:i w:val="0"/>
          <w:sz w:val="20"/>
        </w:rPr>
        <w:t>)</w:t>
      </w:r>
      <w:r>
        <w:rPr>
          <w:b w:val="0"/>
          <w:i w:val="0"/>
          <w:sz w:val="20"/>
        </w:rPr>
        <w:t>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7" w:history="1">
        <w:r>
          <w:rPr>
            <w:i w:val="0"/>
            <w:color w:val="1F5FA8"/>
            <w:sz w:val="20"/>
            <w:vertAlign w:val="superscript"/>
          </w:rPr>
          <w:t>47</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 Spectra of the individual libraries are shown on the following page.</w:t>
      </w:r>
    </w:p>
    <w:p>
      <w:pPr>
        <w:keepNext w:val="0"/>
        <w:pageBreakBefore/>
        <w:jc w:val="center"/>
      </w:pPr>
      <w:r>
        <w:drawing>
          <wp:inline xmlns:a="http://schemas.openxmlformats.org/drawingml/2006/main" xmlns:pic="http://schemas.openxmlformats.org/drawingml/2006/picture">
            <wp:extent cx="6264000" cy="4041290"/>
            <wp:docPr id="17" name="Picture 17"/>
            <wp:cNvGraphicFramePr>
              <a:graphicFrameLocks noChangeAspect="1"/>
            </wp:cNvGraphicFramePr>
            <a:graphic>
              <a:graphicData uri="http://schemas.openxmlformats.org/drawingml/2006/picture">
                <pic:pic>
                  <pic:nvPicPr>
                    <pic:cNvPr id="0" name="FigureS9_spectra_jh4.png"/>
                    <pic:cNvPicPr/>
                  </pic:nvPicPr>
                  <pic:blipFill>
                    <a:blip r:embed="rId26"/>
                    <a:stretch>
                      <a:fillRect/>
                    </a:stretch>
                  </pic:blipFill>
                  <pic:spPr>
                    <a:xfrm>
                      <a:off x="0" y="0"/>
                      <a:ext cx="6264000" cy="404129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4041290"/>
            <wp:docPr id="18" name="Picture 18"/>
            <wp:cNvGraphicFramePr>
              <a:graphicFrameLocks noChangeAspect="1"/>
            </wp:cNvGraphicFramePr>
            <a:graphic>
              <a:graphicData uri="http://schemas.openxmlformats.org/drawingml/2006/picture">
                <pic:pic>
                  <pic:nvPicPr>
                    <pic:cNvPr id="0" name="FigureS9_spectra_n114.png"/>
                    <pic:cNvPicPr/>
                  </pic:nvPicPr>
                  <pic:blipFill>
                    <a:blip r:embed="rId27"/>
                    <a:stretch>
                      <a:fillRect/>
                    </a:stretch>
                  </pic:blipFill>
                  <pic:spPr>
                    <a:xfrm>
                      <a:off x="0" y="0"/>
                      <a:ext cx="6264000" cy="404129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Per-library spectra, related to </w:t>
      </w:r>
      <w:hyperlink w:anchor="fig_4" w:history="1">
        <w:r>
          <w:rPr>
            <w:b/>
            <w:i w:val="0"/>
            <w:color w:val="1F5FA8"/>
            <w:sz w:val="20"/>
          </w:rPr>
          <w:t>Figure 4</w:t>
        </w:r>
      </w:hyperlink>
      <w:r>
        <w:rPr>
          <w:b/>
          <w:i w:val="0"/>
          <w:sz w:val="20"/>
        </w:rPr>
        <w:t xml:space="preserve"> (page 2 of 2). </w:t>
      </w:r>
      <w:r>
        <w:rPr>
          <w:b w:val="0"/>
          <w:i w:val="0"/>
          <w:sz w:val="20"/>
        </w:rPr>
        <w:t xml:space="preserve">The same spectra resolved to one matrix per library, so that the pooled patterns of </w:t>
      </w:r>
      <w:hyperlink w:anchor="fig_4" w:history="1">
        <w:r>
          <w:rPr>
            <w:b/>
            <w:i w:val="0"/>
            <w:color w:val="1F5FA8"/>
            <w:sz w:val="20"/>
          </w:rPr>
          <w:t>Figure 4</w:t>
        </w:r>
      </w:hyperlink>
      <w:r>
        <w:rPr>
          <w:b w:val="0"/>
          <w:i w:val="0"/>
          <w:sz w:val="20"/>
        </w:rPr>
        <w:t xml:space="preserve"> and the preceding page can be seen to hold in each animal and subclone rather than in the pool alone. Top, J</w:t>
      </w:r>
      <w:r>
        <w:rPr>
          <w:i w:val="0"/>
          <w:sz w:val="20"/>
          <w:vertAlign w:val="subscript"/>
        </w:rPr>
        <w:t>H</w:t>
      </w:r>
      <w:r>
        <w:rPr>
          <w:b w:val="0"/>
          <w:i w:val="0"/>
          <w:sz w:val="20"/>
        </w:rPr>
        <w:t>4 wild-type (</w:t>
      </w:r>
      <w:r>
        <w:rPr>
          <w:i/>
          <w:sz w:val="20"/>
        </w:rPr>
        <w:t>Wt</w:t>
      </w:r>
      <w:r>
        <w:rPr>
          <w:b w:val="0"/>
          <w:i w:val="0"/>
          <w:sz w:val="20"/>
        </w:rPr>
        <w:t xml:space="preserve">) and </w:t>
      </w:r>
      <w:r>
        <w:rPr>
          <w:i/>
          <w:sz w:val="20"/>
        </w:rPr>
        <w:t>Aicda</w:t>
      </w:r>
      <w:r>
        <w:rPr>
          <w:i w:val="0"/>
          <w:sz w:val="20"/>
          <w:vertAlign w:val="superscript"/>
        </w:rPr>
        <w:t>−/−</w:t>
      </w:r>
      <w:r>
        <w:rPr>
          <w:b w:val="0"/>
          <w:i w:val="0"/>
          <w:sz w:val="20"/>
        </w:rPr>
        <w:t xml:space="preserve"> libraries; bottom, N114 V</w:t>
      </w:r>
      <w:r>
        <w:rPr>
          <w:i w:val="0"/>
          <w:sz w:val="20"/>
          <w:vertAlign w:val="subscript"/>
        </w:rPr>
        <w:t>H</w:t>
      </w:r>
      <w:r>
        <w:rPr>
          <w:b w:val="0"/>
          <w:i w:val="0"/>
          <w:sz w:val="20"/>
        </w:rPr>
        <w:t xml:space="preserve"> pMX-</w:t>
      </w:r>
      <w:r>
        <w:rPr>
          <w:i/>
          <w:sz w:val="20"/>
        </w:rPr>
        <w:t>Aicda</w:t>
      </w:r>
      <w:r>
        <w:rPr>
          <w:b w:val="0"/>
          <w:i w:val="0"/>
          <w:sz w:val="20"/>
        </w:rPr>
        <w:t xml:space="preserve"> and empty-vector subclones. Within each component </w:t>
      </w:r>
      <w:r>
        <w:rPr>
          <w:b w:val="0"/>
          <w:i w:val="0"/>
          <w:sz w:val="20"/>
        </w:rPr>
        <w:t>(</w:t>
      </w:r>
      <w:r>
        <w:rPr>
          <w:b/>
          <w:i w:val="0"/>
          <w:sz w:val="20"/>
        </w:rPr>
        <w:t>A</w:t>
      </w:r>
      <w:r>
        <w:rPr>
          <w:b w:val="0"/>
          <w:i w:val="0"/>
          <w:sz w:val="20"/>
        </w:rPr>
        <w:t>)</w:t>
      </w:r>
      <w:r>
        <w:rPr>
          <w:b w:val="0"/>
          <w:i w:val="0"/>
          <w:sz w:val="20"/>
        </w:rPr>
        <w:t xml:space="preserve"> denotes the AID-active libraries and </w:t>
      </w:r>
      <w:r>
        <w:rPr>
          <w:b w:val="0"/>
          <w:i w:val="0"/>
          <w:sz w:val="20"/>
        </w:rPr>
        <w:t>(</w:t>
      </w:r>
      <w:r>
        <w:rPr>
          <w:b/>
          <w:i w:val="0"/>
          <w:sz w:val="20"/>
        </w:rPr>
        <w:t>B</w:t>
      </w:r>
      <w:r>
        <w:rPr>
          <w:b w:val="0"/>
          <w:i w:val="0"/>
          <w:sz w:val="20"/>
        </w:rPr>
        <w:t>)</w:t>
      </w:r>
      <w:r>
        <w:rPr>
          <w:b w:val="0"/>
          <w:i w:val="0"/>
          <w:sz w:val="20"/>
        </w:rPr>
        <w:t xml:space="preserve"> the AID-null libraries, and the panel letters restart in the lower component. Matrices are oriented From (rows) → To (columns), and each cell gives the unique-variant count and its share of that library's calls. Experimental details: the libraries are those of </w:t>
      </w:r>
      <w:hyperlink w:anchor="fig_4" w:history="1">
        <w:r>
          <w:rPr>
            <w:b/>
            <w:i w:val="0"/>
            <w:color w:val="1F5FA8"/>
            <w:sz w:val="20"/>
          </w:rPr>
          <w:t>Figures 4</w:t>
        </w:r>
      </w:hyperlink>
      <w:r>
        <w:rPr>
          <w:b/>
          <w:i w:val="0"/>
          <w:sz w:val="20"/>
        </w:rPr>
        <w:t xml:space="preserve"> and </w:t>
      </w:r>
      <w:hyperlink w:anchor="fig_5" w:history="1">
        <w:r>
          <w:rPr>
            <w:b/>
            <w:i w:val="0"/>
            <w:color w:val="1F5FA8"/>
            <w:sz w:val="20"/>
          </w:rPr>
          <w:t>5</w:t>
        </w:r>
      </w:hyperlink>
      <w:r>
        <w:rPr>
          <w:b w:val="0"/>
          <w:i w:val="0"/>
          <w:sz w:val="20"/>
        </w:rPr>
        <w:t>, analysed at 500 reads each.</w:t>
      </w:r>
    </w:p>
    <w:p>
      <w:pPr>
        <w:keepNext/>
        <w:pageBreakBefore/>
        <w:jc w:val="center"/>
      </w:pPr>
      <w:r>
        <w:drawing>
          <wp:inline xmlns:a="http://schemas.openxmlformats.org/drawingml/2006/main" xmlns:pic="http://schemas.openxmlformats.org/drawingml/2006/picture">
            <wp:extent cx="6264000" cy="3743159"/>
            <wp:docPr id="19" name="Picture 19"/>
            <wp:cNvGraphicFramePr>
              <a:graphicFrameLocks noChangeAspect="1"/>
            </wp:cNvGraphicFramePr>
            <a:graphic>
              <a:graphicData uri="http://schemas.openxmlformats.org/drawingml/2006/picture">
                <pic:pic>
                  <pic:nvPicPr>
                    <pic:cNvPr id="0" name="FigureS10.png"/>
                    <pic:cNvPicPr/>
                  </pic:nvPicPr>
                  <pic:blipFill>
                    <a:blip r:embed="rId28"/>
                    <a:stretch>
                      <a:fillRect/>
                    </a:stretch>
                  </pic:blipFill>
                  <pic:spPr>
                    <a:xfrm>
                      <a:off x="0" y="0"/>
                      <a:ext cx="6264000" cy="3743159"/>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5399842"/>
            <wp:docPr id="20" name="Picture 20"/>
            <wp:cNvGraphicFramePr>
              <a:graphicFrameLocks noChangeAspect="1"/>
            </wp:cNvGraphicFramePr>
            <a:graphic>
              <a:graphicData uri="http://schemas.openxmlformats.org/drawingml/2006/picture">
                <pic:pic>
                  <pic:nvPicPr>
                    <pic:cNvPr id="0" name="FigureS11.png"/>
                    <pic:cNvPicPr/>
                  </pic:nvPicPr>
                  <pic:blipFill>
                    <a:blip r:embed="rId29"/>
                    <a:stretch>
                      <a:fillRect/>
                    </a:stretch>
                  </pic:blipFill>
                  <pic:spPr>
                    <a:xfrm>
                      <a:off x="0" y="0"/>
                      <a:ext cx="6264000" cy="5399842"/>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in each AID-null library (red) and averaged over the AID-active libraries (blue); J</w:t>
      </w:r>
      <w:r>
        <w:rPr>
          <w:i w:val="0"/>
          <w:sz w:val="20"/>
          <w:vertAlign w:val="subscript"/>
        </w:rPr>
        <w:t>H</w:t>
      </w:r>
      <w:r>
        <w:rPr>
          <w:b w:val="0"/>
          <w:i w:val="0"/>
          <w:sz w:val="20"/>
        </w:rPr>
        <w:t>4, 500 reads per library; Sμ (PRJNA1481264), 2,000. Insets, the controls alone on their own scale, on which the small recurrent artifacts are visible.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231264"/>
            <wp:docPr id="21" name="Picture 21"/>
            <wp:cNvGraphicFramePr>
              <a:graphicFrameLocks noChangeAspect="1"/>
            </wp:cNvGraphicFramePr>
            <a:graphic>
              <a:graphicData uri="http://schemas.openxmlformats.org/drawingml/2006/picture">
                <pic:pic>
                  <pic:nvPicPr>
                    <pic:cNvPr id="0" name="FigureS12_immcantation.png"/>
                    <pic:cNvPicPr/>
                  </pic:nvPicPr>
                  <pic:blipFill>
                    <a:blip r:embed="rId30"/>
                    <a:stretch>
                      <a:fillRect/>
                    </a:stretch>
                  </pic:blipFill>
                  <pic:spPr>
                    <a:xfrm>
                      <a:off x="0" y="0"/>
                      <a:ext cx="6264000" cy="2231264"/>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w:t>
      </w:r>
      <w:r>
        <w:rPr>
          <w:i/>
          <w:sz w:val="20"/>
        </w:rPr>
        <w:t>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(A) Mutation frequency per library; filled, pMX-</w:t>
      </w:r>
      <w:r>
        <w:rPr>
          <w:b w:val="0"/>
          <w:i w:val="0"/>
          <w:sz w:val="20"/>
        </w:rPr>
        <w:t>Aicda</w:t>
      </w:r>
      <w:r>
        <w:rPr>
          <w:i/>
          <w:sz w:val="20"/>
        </w:rPr>
        <w:t>; open, empty vector; triangles, libraries with no SHMtrace call, drawn at one event; bars, geometric means. (B) Geometric-mean separation of pMX-</w:t>
      </w:r>
      <w:r>
        <w:rPr>
          <w:b w:val="0"/>
          <w:i w:val="0"/>
          <w:sz w:val="20"/>
        </w:rPr>
        <w:t>Aicda* from empty-vector libraries.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val="0"/>
        <w:pageBreakBefore/>
        <w:jc w:val="center"/>
      </w:pPr>
      <w:r>
        <w:drawing>
          <wp:inline xmlns:a="http://schemas.openxmlformats.org/drawingml/2006/main" xmlns:pic="http://schemas.openxmlformats.org/drawingml/2006/picture">
            <wp:extent cx="6264000" cy="4041290"/>
            <wp:docPr id="22" name="Picture 22"/>
            <wp:cNvGraphicFramePr>
              <a:graphicFrameLocks noChangeAspect="1"/>
            </wp:cNvGraphicFramePr>
            <a:graphic>
              <a:graphicData uri="http://schemas.openxmlformats.org/drawingml/2006/picture">
                <pic:pic>
                  <pic:nvPicPr>
                    <pic:cNvPr id="0" name="FigureS13_sanger_matrices.png"/>
                    <pic:cNvPicPr/>
                  </pic:nvPicPr>
                  <pic:blipFill>
                    <a:blip r:embed="rId31"/>
                    <a:stretch>
                      <a:fillRect/>
                    </a:stretch>
                  </pic:blipFill>
                  <pic:spPr>
                    <a:xfrm>
                      <a:off x="0" y="0"/>
                      <a:ext cx="6264000" cy="404129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3711837"/>
            <wp:docPr id="23" name="Picture 23"/>
            <wp:cNvGraphicFramePr>
              <a:graphicFrameLocks noChangeAspect="1"/>
            </wp:cNvGraphicFramePr>
            <a:graphic>
              <a:graphicData uri="http://schemas.openxmlformats.org/drawingml/2006/picture">
                <pic:pic>
                  <pic:nvPicPr>
                    <pic:cNvPr id="0" name="FigureS13_sanger_window.png"/>
                    <pic:cNvPicPr/>
                  </pic:nvPicPr>
                  <pic:blipFill>
                    <a:blip r:embed="rId32"/>
                    <a:stretch>
                      <a:fillRect/>
                    </a:stretch>
                  </pic:blipFill>
                  <pic:spPr>
                    <a:xfrm>
                      <a:off x="0" y="0"/>
                      <a:ext cx="6264000" cy="371183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xml:space="preserve">. Sanger re-analysis, related to </w:t>
      </w:r>
      <w:hyperlink w:anchor="fig_5" w:history="1">
        <w:r>
          <w:rPr>
            <w:b/>
            <w:i w:val="0"/>
            <w:color w:val="1F5FA8"/>
            <w:sz w:val="20"/>
          </w:rPr>
          <w:t>Figure 5</w:t>
        </w:r>
      </w:hyperlink>
      <w:r>
        <w:rPr>
          <w:b/>
          <w:i w:val="0"/>
          <w:sz w:val="20"/>
        </w:rPr>
        <w:t xml:space="preserve"> (page 1 of 2). </w:t>
      </w:r>
      <w:r>
        <w:rPr>
          <w:b w:val="0"/>
          <w:i w:val="0"/>
          <w:sz w:val="20"/>
        </w:rPr>
        <w:t>Top, per-mouse Sanger substitution matrices at Q≥20. Bottom, 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4" name="Picture 24"/>
            <wp:cNvGraphicFramePr>
              <a:graphicFrameLocks noChangeAspect="1"/>
            </wp:cNvGraphicFramePr>
            <a:graphic>
              <a:graphicData uri="http://schemas.openxmlformats.org/drawingml/2006/picture">
                <pic:pic>
                  <pic:nvPicPr>
                    <pic:cNvPr id="0" name="FigureS14_sanger_cohort2.png"/>
                    <pic:cNvPicPr/>
                  </pic:nvPicPr>
                  <pic:blipFill>
                    <a:blip r:embed="rId33"/>
                    <a:stretch>
                      <a:fillRect/>
                    </a:stretch>
                  </pic:blipFill>
                  <pic:spPr>
                    <a:xfrm>
                      <a:off x="0" y="0"/>
                      <a:ext cx="6264000" cy="4206482"/>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5" w:history="1">
        <w:r>
          <w:rPr>
            <w:i w:val="0"/>
            <w:color w:val="1F5FA8"/>
            <w:sz w:val="20"/>
            <w:vertAlign w:val="superscript"/>
          </w:rPr>
          <w:t>35</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5" name="Picture 25"/>
            <wp:cNvGraphicFramePr>
              <a:graphicFrameLocks noChangeAspect="1"/>
            </wp:cNvGraphicFramePr>
            <a:graphic>
              <a:graphicData uri="http://schemas.openxmlformats.org/drawingml/2006/picture">
                <pic:pic>
                  <pic:nvPicPr>
                    <pic:cNvPr id="0" name="FigureS15_sanger_mkln.png"/>
                    <pic:cNvPicPr/>
                  </pic:nvPicPr>
                  <pic:blipFill>
                    <a:blip r:embed="rId34"/>
                    <a:stretch>
                      <a:fillRect/>
                    </a:stretch>
                  </pic:blipFill>
                  <pic:spPr>
                    <a:xfrm>
                      <a:off x="0" y="0"/>
                      <a:ext cx="6264000" cy="2617163"/>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6" w:history="1">
        <w:r>
          <w:rPr>
            <w:i w:val="0"/>
            <w:color w:val="1F5FA8"/>
            <w:sz w:val="20"/>
            <w:vertAlign w:val="superscript"/>
          </w:rPr>
          <w:t>36</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4" w:history="1">
        <w:r>
          <w:rPr>
            <w:b/>
            <w:i w:val="0"/>
            <w:color w:val="1F5FA8"/>
            <w:sz w:val="20"/>
          </w:rPr>
          <w:t>Figure S14</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6" name="Picture 26"/>
            <wp:cNvGraphicFramePr>
              <a:graphicFrameLocks noChangeAspect="1"/>
            </wp:cNvGraphicFramePr>
            <a:graphic>
              <a:graphicData uri="http://schemas.openxmlformats.org/drawingml/2006/picture">
                <pic:pic>
                  <pic:nvPicPr>
                    <pic:cNvPr id="0" name="FigureS16_swhel.png"/>
                    <pic:cNvPicPr/>
                  </pic:nvPicPr>
                  <pic:blipFill>
                    <a:blip r:embed="rId35"/>
                    <a:stretch>
                      <a:fillRect/>
                    </a:stretch>
                  </pic:blipFill>
                  <pic:spPr>
                    <a:xfrm>
                      <a:off x="0" y="0"/>
                      <a:ext cx="6264000" cy="2362945"/>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Each published claim against what SHMtrace finds; for total mutation (a) the two columns use different tests, the paper's one-way ANOVA and SHMtrace's Welch test on per-animal log frequency, so they agree in direction but not in inference. Unlike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368975"/>
            <wp:docPr id="27" name="Picture 27"/>
            <wp:cNvGraphicFramePr>
              <a:graphicFrameLocks noChangeAspect="1"/>
            </wp:cNvGraphicFramePr>
            <a:graphic>
              <a:graphicData uri="http://schemas.openxmlformats.org/drawingml/2006/picture">
                <pic:pic>
                  <pic:nvPicPr>
                    <pic:cNvPr id="0" name="FigureS17_spectra_full_length.png"/>
                    <pic:cNvPicPr/>
                  </pic:nvPicPr>
                  <pic:blipFill>
                    <a:blip r:embed="rId36"/>
                    <a:stretch>
                      <a:fillRect/>
                    </a:stretch>
                  </pic:blipFill>
                  <pic:spPr>
                    <a:xfrm>
                      <a:off x="0" y="0"/>
                      <a:ext cx="6264000" cy="236897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Extending the analysis from the Sanger window to the full amplicon increases the number of mutations sampled without altering the signature they carry. Pooled wild-type (</w:t>
      </w:r>
      <w:r>
        <w:rPr>
          <w:i/>
          <w:sz w:val="20"/>
        </w:rPr>
        <w:t>Wt</w:t>
      </w:r>
      <w:r>
        <w:rPr>
          <w:b w:val="0"/>
          <w:i w:val="0"/>
          <w:sz w:val="20"/>
        </w:rPr>
        <w:t xml:space="preserve">) substitution spectra across the shared 529-bp window and across the reliably covered 1,141-bp interval, with each cell giving the mutation count and its share of all mutations; the two sets of proportions are highly correlated (Pearson r = 0.989).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5832577" cy="7775999"/>
            <wp:docPr id="28" name="Picture 28"/>
            <wp:cNvGraphicFramePr>
              <a:graphicFrameLocks noChangeAspect="1"/>
            </wp:cNvGraphicFramePr>
            <a:graphic>
              <a:graphicData uri="http://schemas.openxmlformats.org/drawingml/2006/picture">
                <pic:pic>
                  <pic:nvPicPr>
                    <pic:cNvPr id="0" name="FigureS17_mutation_trees.png"/>
                    <pic:cNvPicPr/>
                  </pic:nvPicPr>
                  <pic:blipFill>
                    <a:blip r:embed="rId37"/>
                    <a:stretch>
                      <a:fillRect/>
                    </a:stretch>
                  </pic:blipFill>
                  <pic:spPr>
                    <a:xfrm>
                      <a:off x="0" y="0"/>
                      <a:ext cx="5832577" cy="7775999"/>
                    </a:xfrm>
                    <a:prstGeom prst="rect"/>
                  </pic:spPr>
                </pic:pic>
              </a:graphicData>
            </a:graphic>
          </wp:inline>
        </w:drawing>
      </w:r>
    </w:p>
    <w:p>
      <w:pPr>
        <w:spacing w:line="240" w:lineRule="auto" w:after="80"/>
        <w:jc w:val="both"/>
      </w:pPr>
      <w:hyperlink w:anchor="fig_S17" w:history="1">
        <w:r>
          <w:rPr>
            <w:b/>
            <w:i w:val="0"/>
            <w:color w:val="1F5FA8"/>
            <w:sz w:val="20"/>
          </w:rPr>
          <w:t>Figure S17</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29" name="Picture 29"/>
            <wp:cNvGraphicFramePr>
              <a:graphicFrameLocks noChangeAspect="1"/>
            </wp:cNvGraphicFramePr>
            <a:graphic>
              <a:graphicData uri="http://schemas.openxmlformats.org/drawingml/2006/picture">
                <pic:pic>
                  <pic:nvPicPr>
                    <pic:cNvPr id="0" name="FigureS18_engineered.png"/>
                    <pic:cNvPicPr/>
                  </pic:nvPicPr>
                  <pic:blipFill>
                    <a:blip r:embed="rId38"/>
                    <a:stretch>
                      <a:fillRect/>
                    </a:stretch>
                  </pic:blipFill>
                  <pic:spPr>
                    <a:xfrm>
                      <a:off x="0" y="0"/>
                      <a:ext cx="6264000" cy="2231264"/>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4" w:history="1">
        <w:r>
          <w:rPr>
            <w:i w:val="0"/>
            <w:color w:val="1F5FA8"/>
            <w:sz w:val="20"/>
            <w:vertAlign w:val="superscript"/>
          </w:rPr>
          <w:t>44</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30" name="Picture 30"/>
            <wp:cNvGraphicFramePr>
              <a:graphicFrameLocks noChangeAspect="1"/>
            </wp:cNvGraphicFramePr>
            <a:graphic>
              <a:graphicData uri="http://schemas.openxmlformats.org/drawingml/2006/picture">
                <pic:pic>
                  <pic:nvPicPr>
                    <pic:cNvPr id="0" name="FigureS19_public_smu.png"/>
                    <pic:cNvPicPr/>
                  </pic:nvPicPr>
                  <pic:blipFill>
                    <a:blip r:embed="rId39"/>
                    <a:stretch>
                      <a:fillRect/>
                    </a:stretch>
                  </pic:blipFill>
                  <pic:spPr>
                    <a:xfrm>
                      <a:off x="0" y="0"/>
                      <a:ext cx="6264000" cy="4031212"/>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1" name="Picture 31"/>
            <wp:cNvGraphicFramePr>
              <a:graphicFrameLocks noChangeAspect="1"/>
            </wp:cNvGraphicFramePr>
            <a:graphic>
              <a:graphicData uri="http://schemas.openxmlformats.org/drawingml/2006/picture">
                <pic:pic>
                  <pic:nvPicPr>
                    <pic:cNvPr id="0" name="FigureS20_switch_pacbio.png"/>
                    <pic:cNvPicPr/>
                  </pic:nvPicPr>
                  <pic:blipFill>
                    <a:blip r:embed="rId40"/>
                    <a:stretch>
                      <a:fillRect/>
                    </a:stretch>
                  </pic:blipFill>
                  <pic:spPr>
                    <a:xfrm>
                      <a:off x="0" y="0"/>
                      <a:ext cx="6264000" cy="3743159"/>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averaged across three mice: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801"/>
            <wp:docPr id="32" name="Picture 32"/>
            <wp:cNvGraphicFramePr>
              <a:graphicFrameLocks noChangeAspect="1"/>
            </wp:cNvGraphicFramePr>
            <a:graphic>
              <a:graphicData uri="http://schemas.openxmlformats.org/drawingml/2006/picture">
                <pic:pic>
                  <pic:nvPicPr>
                    <pic:cNvPr id="0" name="FigureS21_platforms.png"/>
                    <pic:cNvPicPr/>
                  </pic:nvPicPr>
                  <pic:blipFill>
                    <a:blip r:embed="rId41"/>
                    <a:stretch>
                      <a:fillRect/>
                    </a:stretch>
                  </pic:blipFill>
                  <pic:spPr>
                    <a:xfrm>
                      <a:off x="0" y="0"/>
                      <a:ext cx="6264000" cy="6219801"/>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measurements obtained from the two workflows in this study and their agreement in the six matched mice. These comparisons are assay-specific: Sanger amplicons spanning V</w:t>
      </w:r>
      <w:r>
        <w:rPr>
          <w:b w:val="0"/>
          <w:i w:val="0"/>
          <w:sz w:val="20"/>
        </w:rPr>
        <w:t>(</w:t>
      </w:r>
      <w:r>
        <w:rPr>
          <w:b/>
          <w:i w:val="0"/>
          <w:sz w:val="20"/>
        </w:rPr>
        <w:t>D</w:t>
      </w:r>
      <w:r>
        <w:rPr>
          <w:b w:val="0"/>
          <w:i w:val="0"/>
          <w:sz w:val="20"/>
        </w:rPr>
        <w:t>)</w:t>
      </w:r>
      <w:r>
        <w:rPr>
          <w:b w:val="0"/>
          <w:i w:val="0"/>
          <w:sz w:val="20"/>
        </w:rPr>
        <w:t xml:space="preserve">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w:t>
      </w:r>
    </w:p>
    <w:p>
      <w:pPr>
        <w:keepNext/>
        <w:pageBreakBefore/>
        <w:jc w:val="center"/>
      </w:pPr>
      <w:r>
        <w:drawing>
          <wp:inline xmlns:a="http://schemas.openxmlformats.org/drawingml/2006/main" xmlns:pic="http://schemas.openxmlformats.org/drawingml/2006/picture">
            <wp:extent cx="6264000" cy="3535274"/>
            <wp:docPr id="33" name="Picture 33"/>
            <wp:cNvGraphicFramePr>
              <a:graphicFrameLocks noChangeAspect="1"/>
            </wp:cNvGraphicFramePr>
            <a:graphic>
              <a:graphicData uri="http://schemas.openxmlformats.org/drawingml/2006/picture">
                <pic:pic>
                  <pic:nvPicPr>
                    <pic:cNvPr id="0" name="FigureS22_overview.png"/>
                    <pic:cNvPicPr/>
                  </pic:nvPicPr>
                  <pic:blipFill>
                    <a:blip r:embed="rId42"/>
                    <a:stretch>
                      <a:fillRect/>
                    </a:stretch>
                  </pic:blipFill>
                  <pic:spPr>
                    <a:xfrm>
                      <a:off x="0" y="0"/>
                      <a:ext cx="6264000" cy="3535274"/>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3" w:history="1">
        <w:r>
          <w:rPr>
            <w:b/>
            <w:i w:val="0"/>
            <w:color w:val="1F5FA8"/>
            <w:sz w:val="20"/>
          </w:rPr>
          <w:t>Figure S23</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6622465"/>
            <wp:docPr id="34" name="Picture 34"/>
            <wp:cNvGraphicFramePr>
              <a:graphicFrameLocks noChangeAspect="1"/>
            </wp:cNvGraphicFramePr>
            <a:graphic>
              <a:graphicData uri="http://schemas.openxmlformats.org/drawingml/2006/picture">
                <pic:pic>
                  <pic:nvPicPr>
                    <pic:cNvPr id="0" name="FigureS23_engine.png"/>
                    <pic:cNvPicPr/>
                  </pic:nvPicPr>
                  <pic:blipFill>
                    <a:blip r:embed="rId43"/>
                    <a:stretch>
                      <a:fillRect/>
                    </a:stretch>
                  </pic:blipFill>
                  <pic:spPr>
                    <a:xfrm>
                      <a:off x="0" y="0"/>
                      <a:ext cx="6264000" cy="6622465"/>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Rules underlying read preparation and variant calling, related to STAR Methods. </w:t>
      </w:r>
      <w:r>
        <w:rPr>
          <w:b w:val="0"/>
          <w:i w:val="0"/>
          <w:sz w:val="20"/>
        </w:rPr>
        <w:t>The rule and the equation behind each stage of the analysis, each shown working on the J</w:t>
      </w:r>
      <w:r>
        <w:rPr>
          <w:i w:val="0"/>
          <w:sz w:val="20"/>
          <w:vertAlign w:val="subscript"/>
        </w:rPr>
        <w:t>H</w:t>
      </w:r>
      <w:r>
        <w:rPr>
          <w:b w:val="0"/>
          <w:i w:val="0"/>
          <w:sz w:val="20"/>
        </w:rPr>
        <w:t xml:space="preserve">4 libraries rather than stated in the abstract. </w:t>
      </w:r>
      <w:r>
        <w:rPr>
          <w:b w:val="0"/>
          <w:i w:val="0"/>
          <w:sz w:val="20"/>
        </w:rPr>
        <w:t>(</w:t>
      </w:r>
      <w:r>
        <w:rPr>
          <w:b/>
          <w:i w:val="0"/>
          <w:sz w:val="20"/>
        </w:rPr>
        <w:t>A</w:t>
      </w:r>
      <w:r>
        <w:rPr>
          <w:b w:val="0"/>
          <w:i w:val="0"/>
          <w:sz w:val="20"/>
        </w:rPr>
        <w:t>)</w:t>
      </w:r>
      <w:r>
        <w:rPr>
          <w:b w:val="0"/>
          <w:i w:val="0"/>
          <w:sz w:val="20"/>
        </w:rPr>
        <w:t xml:space="preserve"> Read accounting in one library: the length and expected-error filters, competitive alignment and the reads left usable (the individual filters are in </w:t>
      </w:r>
      <w:hyperlink w:anchor="fig_S1" w:history="1">
        <w:r>
          <w:rPr>
            <w:b/>
            <w:i w:val="0"/>
            <w:color w:val="1F5FA8"/>
            <w:sz w:val="20"/>
          </w:rPr>
          <w:t>Figure S1</w:t>
        </w:r>
      </w:hyperlink>
      <w:r>
        <w:rPr>
          <w:b w:val="0"/>
          <w:i w:val="0"/>
          <w:sz w:val="20"/>
        </w:rPr>
        <w:t xml:space="preserve">). </w:t>
      </w:r>
      <w:r>
        <w:rPr>
          <w:b w:val="0"/>
          <w:i w:val="0"/>
          <w:sz w:val="20"/>
        </w:rPr>
        <w:t>(</w:t>
      </w:r>
      <w:r>
        <w:rPr>
          <w:b/>
          <w:i w:val="0"/>
          <w:sz w:val="20"/>
        </w:rPr>
        <w:t>B</w:t>
      </w:r>
      <w:r>
        <w:rPr>
          <w:b w:val="0"/>
          <w:i w:val="0"/>
          <w:sz w:val="20"/>
        </w:rPr>
        <w:t>)</w:t>
      </w:r>
      <w:r>
        <w:rPr>
          <w:b w:val="0"/>
          <w:i w:val="0"/>
          <w:sz w:val="20"/>
        </w:rPr>
        <w:t xml:space="preserve"> Alignment identity to the target against identity to its paralog; each read is assigned to whichever it matches better. </w:t>
      </w:r>
      <w:r>
        <w:rPr>
          <w:b w:val="0"/>
          <w:i w:val="0"/>
          <w:sz w:val="20"/>
        </w:rPr>
        <w:t>(</w:t>
      </w:r>
      <w:r>
        <w:rPr>
          <w:b/>
          <w:i w:val="0"/>
          <w:sz w:val="20"/>
        </w:rPr>
        <w:t>C</w:t>
      </w:r>
      <w:r>
        <w:rPr>
          <w:b w:val="0"/>
          <w:i w:val="0"/>
          <w:sz w:val="20"/>
        </w:rPr>
        <w:t>)</w:t>
      </w:r>
      <w:r>
        <w:rPr>
          <w:b w:val="0"/>
          <w:i w:val="0"/>
          <w:sz w:val="20"/>
        </w:rPr>
        <w:t xml:space="preserve"> Reported base quality against the mismatch rate measured in </w:t>
      </w:r>
      <w:r>
        <w:rPr>
          <w:i/>
          <w:sz w:val="20"/>
        </w:rPr>
        <w:t>Aicda</w:t>
      </w:r>
      <w:r>
        <w:rPr>
          <w:i w:val="0"/>
          <w:sz w:val="20"/>
          <w:vertAlign w:val="superscript"/>
        </w:rPr>
        <w:t>−/−</w:t>
      </w:r>
      <w:r>
        <w:rPr>
          <w:b w:val="0"/>
          <w:i w:val="0"/>
          <w:sz w:val="20"/>
        </w:rPr>
        <w:t xml:space="preserve"> libraries; the dashed line is the error probability the quality score nominally implies, and the gap between them is what the margin corrects. </w:t>
      </w:r>
      <w:r>
        <w:rPr>
          <w:b w:val="0"/>
          <w:i w:val="0"/>
          <w:sz w:val="20"/>
        </w:rPr>
        <w:t>(</w:t>
      </w:r>
      <w:r>
        <w:rPr>
          <w:b/>
          <w:i w:val="0"/>
          <w:sz w:val="20"/>
        </w:rPr>
        <w:t>D</w:t>
      </w:r>
      <w:r>
        <w:rPr>
          <w:b w:val="0"/>
          <w:i w:val="0"/>
          <w:sz w:val="20"/>
        </w:rPr>
        <w:t>)</w:t>
      </w:r>
      <w:r>
        <w:rPr>
          <w:b w:val="0"/>
          <w:i w:val="0"/>
          <w:sz w:val="20"/>
        </w:rPr>
        <w:t xml:space="preserve"> Two candidates at equal depth in the same library, with their supporting reads in the wild-type and control libraries, and why one is called and the other is not. </w:t>
      </w:r>
      <w:r>
        <w:rPr>
          <w:b w:val="0"/>
          <w:i w:val="0"/>
          <w:sz w:val="20"/>
        </w:rPr>
        <w:t>(</w:t>
      </w:r>
      <w:r>
        <w:rPr>
          <w:b/>
          <w:i w:val="0"/>
          <w:sz w:val="20"/>
        </w:rPr>
        <w:t>E</w:t>
      </w:r>
      <w:r>
        <w:rPr>
          <w:b w:val="0"/>
          <w:i w:val="0"/>
          <w:sz w:val="20"/>
        </w:rPr>
        <w:t>)</w:t>
      </w:r>
      <w:r>
        <w:rPr>
          <w:b w:val="0"/>
          <w:i w:val="0"/>
          <w:sz w:val="20"/>
        </w:rPr>
        <w:t xml:space="preserve"> Candidate counts and held-out-decoy counts across p-value cutoffs, with the threshold that selection returns. </w:t>
      </w:r>
      <w:r>
        <w:rPr>
          <w:b w:val="0"/>
          <w:i w:val="0"/>
          <w:sz w:val="20"/>
        </w:rPr>
        <w:t>(</w:t>
      </w:r>
      <w:r>
        <w:rPr>
          <w:b/>
          <w:i w:val="0"/>
          <w:sz w:val="20"/>
        </w:rPr>
        <w:t>F</w:t>
      </w:r>
      <w:r>
        <w:rPr>
          <w:b w:val="0"/>
          <w:i w:val="0"/>
          <w:sz w:val="20"/>
        </w:rPr>
        <w:t>)</w:t>
      </w:r>
      <w:r>
        <w:rPr>
          <w:b w:val="0"/>
          <w:i w:val="0"/>
          <w:sz w:val="20"/>
        </w:rPr>
        <w:t xml:space="preserve"> The per-animal unique-variant density that group comparisons are made on. Experimental details: panels are drawn from </w:t>
      </w:r>
      <w:r>
        <w:rPr>
          <w:rFonts w:ascii="Courier New" w:hAnsi="Courier New"/>
          <w:sz w:val="18"/>
        </w:rPr>
        <w:t>intuition_jh4.json</w:t>
      </w:r>
      <w:r>
        <w:rPr>
          <w:b w:val="0"/>
          <w:i w:val="0"/>
          <w:sz w:val="20"/>
        </w:rPr>
        <w:t>, the per-library read-accounting records and the bundled example library; the equations shown are those the software implements.</w:t>
      </w:r>
    </w:p>
    <w:p>
      <w:pPr>
        <w:keepNext/>
        <w:pageBreakBefore/>
        <w:jc w:val="center"/>
      </w:pPr>
      <w:r>
        <w:drawing>
          <wp:inline xmlns:a="http://schemas.openxmlformats.org/drawingml/2006/main" xmlns:pic="http://schemas.openxmlformats.org/drawingml/2006/picture">
            <wp:extent cx="6264000" cy="4823737"/>
            <wp:docPr id="35" name="Picture 35"/>
            <wp:cNvGraphicFramePr>
              <a:graphicFrameLocks noChangeAspect="1"/>
            </wp:cNvGraphicFramePr>
            <a:graphic>
              <a:graphicData uri="http://schemas.openxmlformats.org/drawingml/2006/picture">
                <pic:pic>
                  <pic:nvPicPr>
                    <pic:cNvPr id="0" name="FigureS24.png"/>
                    <pic:cNvPicPr/>
                  </pic:nvPicPr>
                  <pic:blipFill>
                    <a:blip r:embed="rId44"/>
                    <a:stretch>
                      <a:fillRect/>
                    </a:stretch>
                  </pic:blipFill>
                  <pic:spPr>
                    <a:xfrm>
                      <a:off x="0" y="0"/>
                      <a:ext cx="6264000" cy="4823737"/>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pageBreakBefore/>
      </w:pPr>
      <w:bookmarkStart w:id="33" w:name="tab_S2"/>
      <w:bookmarkEnd w:id="33"/>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4" w:history="1">
              <w:r>
                <w:rPr>
                  <w:b w:val="0"/>
                  <w:i w:val="0"/>
                  <w:color w:val="1F5FA8"/>
                  <w:sz w:val="15"/>
                </w:rPr>
                <w:t>Figure S14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8" w:history="1">
              <w:r>
                <w:rPr>
                  <w:b w:val="0"/>
                  <w:i w:val="0"/>
                  <w:color w:val="1F5FA8"/>
                  <w:sz w:val="15"/>
                </w:rPr>
                <w:t>Figure S8D</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PRJNA170048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6" w:history="1">
              <w:r>
                <w:rPr>
                  <w:i w:val="0"/>
                  <w:color w:val="1F5FA8"/>
                  <w:sz w:val="15"/>
                  <w:vertAlign w:val="superscript"/>
                </w:rPr>
                <w:t>46</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GSE77788</w:t>
            </w:r>
            <w:hyperlink w:anchor="ref_45" w:history="1">
              <w:r>
                <w:rPr>
                  <w:i w:val="0"/>
                  <w:color w:val="1F5FA8"/>
                  <w:sz w:val="15"/>
                  <w:vertAlign w:val="superscript"/>
                </w:rPr>
                <w:t>45</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w:t>
              </w:r>
            </w:hyperlink>
          </w:p>
        </w:tc>
      </w:tr>
      <w:tr>
        <w:tc>
          <w:tcPr>
            <w:tcW w:type="dxa" w:w="1587"/>
          </w:tcPr>
          <w:p>
            <w:pPr>
              <w:spacing w:after="0" w:line="240" w:lineRule="auto"/>
            </w:pPr>
            <w:r>
              <w:rPr>
                <w:b w:val="0"/>
                <w:i w:val="0"/>
                <w:sz w:val="15"/>
              </w:rPr>
              <w:t>SRP159221</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8" w:history="1">
              <w:r>
                <w:rPr>
                  <w:b w:val="0"/>
                  <w:i w:val="0"/>
                  <w:color w:val="1F5FA8"/>
                  <w:sz w:val="15"/>
                </w:rPr>
                <w:t>Figure S18A</w:t>
              </w:r>
            </w:hyperlink>
          </w:p>
        </w:tc>
      </w:tr>
      <w:tr>
        <w:tc>
          <w:tcPr>
            <w:tcW w:type="dxa" w:w="1587"/>
          </w:tcPr>
          <w:p>
            <w:pPr>
              <w:spacing w:after="0" w:line="240" w:lineRule="auto"/>
            </w:pPr>
            <w:r>
              <w:rPr>
                <w:b w:val="0"/>
                <w:i w:val="0"/>
                <w:sz w:val="15"/>
              </w:rPr>
              <w:t>Devilder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8" w:history="1">
              <w:r>
                <w:rPr>
                  <w:b w:val="0"/>
                  <w:i w:val="0"/>
                  <w:color w:val="1F5FA8"/>
                  <w:sz w:val="15"/>
                </w:rPr>
                <w:t>Figure S18B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4" w:name="tab_S3"/>
      <w:bookmarkEnd w:id="34"/>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5" w:name="tab_S4"/>
      <w:bookmarkEnd w:id="35"/>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6" w:name="tab_S5"/>
      <w:bookmarkEnd w:id="36"/>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4" w:history="1">
              <w:r>
                <w:rPr>
                  <w:b w:val="0"/>
                  <w:i w:val="0"/>
                  <w:color w:val="1F5FA8"/>
                  <w:sz w:val="13"/>
                </w:rPr>
                <w:t>Figure S14</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4" w:history="1">
              <w:r>
                <w:rPr>
                  <w:b w:val="0"/>
                  <w:i w:val="0"/>
                  <w:color w:val="1F5FA8"/>
                  <w:sz w:val="13"/>
                </w:rPr>
                <w:t>Figure S14F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7" w:name="tab_S6"/>
      <w:bookmarkEnd w:id="37"/>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8" w:name="tab_S7"/>
      <w:bookmarkEnd w:id="38"/>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39" w:name="ref_1"/>
      <w:bookmarkEnd w:id="39"/>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0" w:name="ref_2"/>
      <w:bookmarkEnd w:id="40"/>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1" w:name="ref_3"/>
      <w:bookmarkEnd w:id="41"/>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2" w:name="ref_4"/>
      <w:bookmarkEnd w:id="42"/>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3" w:name="ref_5"/>
      <w:bookmarkEnd w:id="43"/>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4" w:name="ref_6"/>
      <w:bookmarkEnd w:id="44"/>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5" w:name="ref_7"/>
      <w:bookmarkEnd w:id="45"/>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6" w:name="ref_8"/>
      <w:bookmarkEnd w:id="46"/>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7" w:name="ref_9"/>
      <w:bookmarkEnd w:id="47"/>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8" w:name="ref_10"/>
      <w:bookmarkEnd w:id="48"/>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49" w:name="ref_11"/>
      <w:bookmarkEnd w:id="49"/>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0" w:name="ref_12"/>
      <w:bookmarkEnd w:id="50"/>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1" w:name="ref_13"/>
      <w:bookmarkEnd w:id="51"/>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2" w:name="ref_14"/>
      <w:bookmarkEnd w:id="52"/>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3" w:name="ref_15"/>
      <w:bookmarkEnd w:id="53"/>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4" w:name="ref_16"/>
      <w:bookmarkEnd w:id="54"/>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5" w:name="ref_17"/>
      <w:bookmarkEnd w:id="55"/>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6" w:name="ref_18"/>
      <w:bookmarkEnd w:id="56"/>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7" w:name="ref_19"/>
      <w:bookmarkEnd w:id="57"/>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8" w:name="ref_20"/>
      <w:bookmarkEnd w:id="58"/>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59" w:name="ref_21"/>
      <w:bookmarkEnd w:id="59"/>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0" w:name="ref_22"/>
      <w:bookmarkEnd w:id="60"/>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1" w:name="ref_23"/>
      <w:bookmarkEnd w:id="61"/>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2" w:name="ref_24"/>
      <w:bookmarkEnd w:id="62"/>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3" w:name="ref_25"/>
      <w:bookmarkEnd w:id="63"/>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4" w:name="ref_26"/>
      <w:bookmarkEnd w:id="64"/>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5" w:name="ref_27"/>
      <w:bookmarkEnd w:id="65"/>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6" w:name="ref_28"/>
      <w:bookmarkEnd w:id="66"/>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7" w:name="ref_29"/>
      <w:bookmarkEnd w:id="67"/>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8" w:name="ref_30"/>
      <w:bookmarkEnd w:id="68"/>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69" w:name="ref_31"/>
      <w:bookmarkEnd w:id="69"/>
      <w:r>
        <w:rPr>
          <w:b w:val="0"/>
          <w:i w:val="0"/>
          <w:sz w:val="20"/>
        </w:rPr>
        <w:t>31.</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70" w:name="ref_32"/>
      <w:bookmarkEnd w:id="70"/>
      <w:r>
        <w:rPr>
          <w:b w:val="0"/>
          <w:i w:val="0"/>
          <w:sz w:val="20"/>
        </w:rPr>
        <w:t>32.</w:t>
        <w:tab/>
        <w:t>Hubert, L., and Arabie, P. (1985). Comparing partitions. J. Classif. 2, 193–218. 10.1007/BF01908075.</w:t>
      </w:r>
    </w:p>
    <w:p>
      <w:pPr>
        <w:keepLines/>
        <w:spacing w:line="276" w:lineRule="auto"/>
        <w:ind w:left="397" w:hanging="397"/>
      </w:pPr>
      <w:bookmarkStart w:id="71" w:name="ref_33"/>
      <w:bookmarkEnd w:id="71"/>
      <w:r>
        <w:rPr>
          <w:b w:val="0"/>
          <w:i w:val="0"/>
          <w:sz w:val="20"/>
        </w:rPr>
        <w:t>33.</w:t>
        <w:tab/>
        <w:t>Ye, J., Ma, N., Madden, T.L., and Ostell, J.M. (2013). IgBLAST: an immunoglobulin variable domain sequence analysis tool. Nucleic Acids Res. 41, W34–40. 10.1093/nar/gkt382.</w:t>
      </w:r>
    </w:p>
    <w:p>
      <w:pPr>
        <w:keepLines/>
        <w:spacing w:line="276" w:lineRule="auto"/>
        <w:ind w:left="397" w:hanging="397"/>
      </w:pPr>
      <w:bookmarkStart w:id="72" w:name="ref_34"/>
      <w:bookmarkEnd w:id="72"/>
      <w:r>
        <w:rPr>
          <w:b w:val="0"/>
          <w:i w:val="0"/>
          <w:sz w:val="20"/>
        </w:rPr>
        <w:t>34.</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3" w:name="ref_35"/>
      <w:bookmarkEnd w:id="73"/>
      <w:r>
        <w:rPr>
          <w:b w:val="0"/>
          <w:i w:val="0"/>
          <w:sz w:val="20"/>
        </w:rPr>
        <w:t>35.</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4" w:name="ref_36"/>
      <w:bookmarkEnd w:id="74"/>
      <w:r>
        <w:rPr>
          <w:b w:val="0"/>
          <w:i w:val="0"/>
          <w:sz w:val="20"/>
        </w:rPr>
        <w:t>36.</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5" w:name="ref_37"/>
      <w:bookmarkEnd w:id="75"/>
      <w:r>
        <w:rPr>
          <w:b w:val="0"/>
          <w:i w:val="0"/>
          <w:sz w:val="20"/>
        </w:rPr>
        <w:t>37.</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6" w:name="ref_38"/>
      <w:bookmarkEnd w:id="76"/>
      <w:r>
        <w:rPr>
          <w:b w:val="0"/>
          <w:i w:val="0"/>
          <w:sz w:val="20"/>
        </w:rPr>
        <w:t>38.</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7" w:name="ref_39"/>
      <w:bookmarkEnd w:id="77"/>
      <w:r>
        <w:rPr>
          <w:b w:val="0"/>
          <w:i w:val="0"/>
          <w:sz w:val="20"/>
        </w:rPr>
        <w:t>39.</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8" w:name="ref_40"/>
      <w:bookmarkEnd w:id="78"/>
      <w:r>
        <w:rPr>
          <w:b w:val="0"/>
          <w:i w:val="0"/>
          <w:sz w:val="20"/>
        </w:rPr>
        <w:t>40.</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9" w:name="ref_41"/>
      <w:bookmarkEnd w:id="79"/>
      <w:r>
        <w:rPr>
          <w:b w:val="0"/>
          <w:i w:val="0"/>
          <w:sz w:val="20"/>
        </w:rPr>
        <w:t>41.</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0" w:name="ref_42"/>
      <w:bookmarkEnd w:id="80"/>
      <w:r>
        <w:rPr>
          <w:b w:val="0"/>
          <w:i w:val="0"/>
          <w:sz w:val="20"/>
        </w:rPr>
        <w:t>42.</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81" w:name="ref_43"/>
      <w:bookmarkEnd w:id="81"/>
      <w:r>
        <w:rPr>
          <w:b w:val="0"/>
          <w:i w:val="0"/>
          <w:sz w:val="20"/>
        </w:rPr>
        <w:t>43.</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82" w:name="ref_44"/>
      <w:bookmarkEnd w:id="82"/>
      <w:r>
        <w:rPr>
          <w:b w:val="0"/>
          <w:i w:val="0"/>
          <w:sz w:val="20"/>
        </w:rPr>
        <w:t>44.</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3" w:name="ref_45"/>
      <w:bookmarkEnd w:id="83"/>
      <w:r>
        <w:rPr>
          <w:b w:val="0"/>
          <w:i w:val="0"/>
          <w:sz w:val="20"/>
        </w:rPr>
        <w:t>45.</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4" w:name="ref_46"/>
      <w:bookmarkEnd w:id="84"/>
      <w:r>
        <w:rPr>
          <w:b w:val="0"/>
          <w:i w:val="0"/>
          <w:sz w:val="20"/>
        </w:rPr>
        <w:t>46.</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5" w:name="ref_47"/>
      <w:bookmarkEnd w:id="85"/>
      <w:r>
        <w:rPr>
          <w:b w:val="0"/>
          <w:i w:val="0"/>
          <w:sz w:val="20"/>
        </w:rPr>
        <w:t>47.</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6" w:name="ref_48"/>
      <w:bookmarkEnd w:id="86"/>
      <w:r>
        <w:rPr>
          <w:b w:val="0"/>
          <w:i w:val="0"/>
          <w:sz w:val="20"/>
        </w:rPr>
        <w:t>48.</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7" w:name="ref_49"/>
      <w:bookmarkEnd w:id="87"/>
      <w:r>
        <w:rPr>
          <w:b w:val="0"/>
          <w:i w:val="0"/>
          <w:sz w:val="20"/>
        </w:rPr>
        <w:t>49.</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8" w:name="ref_50"/>
      <w:bookmarkEnd w:id="88"/>
      <w:r>
        <w:rPr>
          <w:b w:val="0"/>
          <w:i w:val="0"/>
          <w:sz w:val="20"/>
        </w:rPr>
        <w:t>50.</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9" w:name="ref_51"/>
      <w:bookmarkEnd w:id="89"/>
      <w:r>
        <w:rPr>
          <w:b w:val="0"/>
          <w:i w:val="0"/>
          <w:sz w:val="20"/>
        </w:rPr>
        <w:t>51.</w:t>
        <w:tab/>
        <w:t>Martin, A., and Scharff, M.D. (2002). Somatic hypermutation of the AID transgene in B and non-B cells. Proc. Natl. Acad. Sci. U. S. A. 99, 12304–12308. 10.1073/pnas.192442899.</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v1.3 Codex 1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Codex revision</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