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sz w:val="20"/>
        </w:rPr>
        <w:t>SHMtrace V2 – for Alberto review: highlights, eTOC blurb and Motivation (a separate file at submission)</w:t>
      </w:r>
    </w:p>
    <w:p>
      <w:pPr>
        <w:keepNext/>
        <w:spacing w:before="240"/>
      </w:pPr>
      <w:r>
        <w:rPr>
          <w:b/>
          <w:i w:val="0"/>
          <w:sz w:val="26"/>
        </w:rPr>
        <w:t>Highlights</w:t>
      </w:r>
    </w:p>
    <w:p>
      <w:pPr>
        <w:pStyle w:val="ListBullet"/>
      </w:pPr>
      <w:r>
        <w:rPr>
          <w:i w:val="0"/>
        </w:rPr>
        <w:t>Candidate mutations in reads are tested against errors of matched AID-null libraries</w:t>
      </w:r>
    </w:p>
    <w:p>
      <w:pPr>
        <w:pStyle w:val="ListBullet"/>
      </w:pPr>
      <w:r>
        <w:rPr>
          <w:i w:val="0"/>
        </w:rPr>
        <w:t>AID-null control calls fall 64–90% vs an uncorrected rule; true mutations are kept</w:t>
      </w:r>
    </w:p>
    <w:p>
      <w:pPr>
        <w:pStyle w:val="ListBullet"/>
      </w:pPr>
      <w:r>
        <w:rPr>
          <w:i w:val="0"/>
        </w:rPr>
        <w:t>Calls feed SHM readouts: AID hotspot targeting, spectra, clones and mutation trees</w:t>
      </w:r>
    </w:p>
    <w:p>
      <w:pPr>
        <w:pStyle w:val="ListBullet"/>
      </w:pPr>
      <w:r>
        <w:rPr>
          <w:i w:val="0"/>
        </w:rPr>
        <w:t>AID signatures are recovered from Sanger, nanopore and Illumina with low background</w:t>
      </w:r>
    </w:p>
    <w:p>
      <w:pPr>
        <w:keepNext/>
        <w:spacing w:before="240"/>
      </w:pPr>
      <w:r>
        <w:rPr>
          <w:b/>
          <w:i w:val="0"/>
          <w:sz w:val="26"/>
        </w:rPr>
        <w:t>eTOC blurb</w:t>
      </w:r>
    </w:p>
    <w:p>
      <w:r>
        <w:rPr>
          <w:i w:val="0"/>
        </w:rPr>
        <w:t>Aderinto et al. present SHMtrace for somatic hypermutation analysis of amplicon reads and Sanger traces. Read-library candidates are tested against matched control errors; Sanger mismatches are counted with background reported separately. Benchmarks assess recall, false calls, biological comparisons and reproducibility across four platforms.</w:t>
      </w:r>
    </w:p>
    <w:p>
      <w:pPr>
        <w:keepNext/>
        <w:spacing w:before="240"/>
      </w:pPr>
      <w:r>
        <w:rPr>
          <w:b/>
          <w:i w:val="0"/>
          <w:sz w:val="26"/>
        </w:rPr>
        <w:t>Motivation</w:t>
      </w:r>
    </w:p>
    <w:p>
      <w:r>
        <w:rPr>
          <w:i w:val="0"/>
        </w:rPr>
        <w:t>At genomic reporter loci such as the J</w:t>
      </w:r>
      <w:r>
        <w:rPr>
          <w:i w:val="0"/>
          <w:vertAlign w:val="subscript"/>
        </w:rPr>
        <w:t>H</w:t>
      </w:r>
      <w:r>
        <w:rPr>
          <w:i w:val="0"/>
        </w:rPr>
        <w:t>4 intron, somatic hypermutation is still measured mostly by cloning PCR products and sequencing colonies one at a time, which is slow and samples few molecules. The software built for somatic hypermutation since has followed B-cell receptor repertoire sequencing, starting from assembled repertoires and summarising mutations already identified; a defined reporter locus, read in bulk on whatever platform a study uses and judged against that study's own background, has had no equivalent modern route. Long nanopore reads could supply one, replacing cloning while preserving linkage between mutations across the amplicon, but their per-read error rate is close to the mutation rate of interest, and general-purpose variant callers judge each base by its quality score rather than by the errors a given library actually makes. We therefore built SHMtrace to calibrate each call against matched AID-null libraries sequenced in the same run, to treat animals rather than reads as replicates, and to make the whole workflow, from reads or chromatograms to group statistics, reproducible.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