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i w:val="0"/>
          <w:sz w:val="32"/>
        </w:rPr>
        <w:t>SHMtrace V2 – for Alberto review</w:t>
      </w:r>
    </w:p>
    <w:p>
      <w:r>
        <w:rPr>
          <w:b w:val="0"/>
          <w:i w:val="0"/>
          <w:sz w:val="22"/>
        </w:rPr>
        <w:t>22 October 2026</w:t>
      </w:r>
    </w:p>
    <w:p>
      <w:pPr>
        <w:pageBreakBefore/>
      </w:pPr>
      <w:r>
        <w:rPr>
          <w:b/>
          <w:i w:val="0"/>
          <w:sz w:val="32"/>
        </w:rPr>
        <w:t>SHMtrace calls somatic hypermutation and other AID-driven mutation with a measured false-discovery rate</w:t>
      </w:r>
    </w:p>
    <w:p>
      <w:r>
        <w:rPr>
          <w:b w:val="0"/>
          <w:i w:val="0"/>
        </w:rPr>
        <w:t>Abdulmateen Aderinto</w:t>
      </w:r>
      <w:r>
        <w:rPr>
          <w:i w:val="0"/>
          <w:vertAlign w:val="superscript"/>
        </w:rPr>
        <w:t>1,3</w:t>
      </w:r>
      <w:r>
        <w:rPr>
          <w:b w:val="0"/>
          <w:i w:val="0"/>
        </w:rPr>
        <w:t>, Philip Barbulescu</w:t>
      </w:r>
      <w:r>
        <w:rPr>
          <w:i w:val="0"/>
          <w:vertAlign w:val="superscript"/>
        </w:rPr>
        <w:t>1,4</w:t>
      </w:r>
      <w:r>
        <w:rPr>
          <w:b w:val="0"/>
          <w:i w:val="0"/>
        </w:rPr>
        <w:t xml:space="preserve"> and Alberto Martin</w:t>
      </w:r>
      <w:r>
        <w:rPr>
          <w:i w:val="0"/>
          <w:vertAlign w:val="superscript"/>
        </w:rPr>
        <w:t>1,2,*</w:t>
      </w:r>
    </w:p>
    <w:p>
      <w:pPr>
        <w:spacing w:after="0"/>
      </w:pPr>
      <w:r>
        <w:rPr>
          <w:i w:val="0"/>
          <w:sz w:val="20"/>
          <w:vertAlign w:val="superscript"/>
        </w:rPr>
        <w:t>1</w:t>
      </w:r>
      <w:r>
        <w:rPr>
          <w:b w:val="0"/>
          <w:i w:val="0"/>
          <w:sz w:val="20"/>
        </w:rPr>
        <w:t>Department of Immunology, University of Toronto, Toronto, ON M5S 1A8, Canada</w:t>
      </w:r>
    </w:p>
    <w:p>
      <w:pPr>
        <w:spacing w:after="0"/>
      </w:pPr>
      <w:r>
        <w:rPr>
          <w:i w:val="0"/>
          <w:sz w:val="20"/>
          <w:vertAlign w:val="superscript"/>
        </w:rPr>
        <w:t>2</w:t>
      </w:r>
      <w:r>
        <w:rPr>
          <w:b w:val="0"/>
          <w:i w:val="0"/>
          <w:sz w:val="20"/>
        </w:rPr>
        <w:t>Lead contact</w:t>
      </w:r>
    </w:p>
    <w:p>
      <w:pPr>
        <w:spacing w:after="0"/>
      </w:pPr>
      <w:r>
        <w:rPr>
          <w:i w:val="0"/>
          <w:sz w:val="20"/>
          <w:vertAlign w:val="superscript"/>
        </w:rPr>
        <w:t>3</w:t>
      </w:r>
      <w:r>
        <w:rPr>
          <w:b w:val="0"/>
          <w:i w:val="0"/>
          <w:sz w:val="20"/>
        </w:rPr>
        <w:t>Technical contact</w:t>
      </w:r>
    </w:p>
    <w:p>
      <w:pPr>
        <w:spacing w:after="0"/>
      </w:pPr>
      <w:r>
        <w:rPr>
          <w:i w:val="0"/>
          <w:sz w:val="20"/>
          <w:vertAlign w:val="superscript"/>
        </w:rPr>
        <w:t>4</w:t>
      </w:r>
      <w:r>
        <w:rPr>
          <w:b w:val="0"/>
          <w:i w:val="0"/>
          <w:sz w:val="20"/>
        </w:rPr>
        <w:t>Present address: Structural Genomics Consortium, Toronto, ON M5G 1L7, Canada</w:t>
      </w:r>
    </w:p>
    <w:p>
      <w:pPr>
        <w:spacing w:after="0"/>
      </w:pPr>
      <w:r>
        <w:rPr>
          <w:b w:val="0"/>
          <w:i w:val="0"/>
          <w:sz w:val="20"/>
        </w:rPr>
        <w:t>*Correspondence: alberto.martin@utoronto.ca</w:t>
      </w:r>
    </w:p>
    <w:p>
      <w:pPr>
        <w:keepNext/>
        <w:spacing w:before="240"/>
      </w:pPr>
      <w:r>
        <w:rPr>
          <w:b/>
          <w:i w:val="0"/>
          <w:sz w:val="26"/>
        </w:rPr>
        <w:t>Summary</w:t>
      </w:r>
    </w:p>
    <w:p>
      <w:r>
        <w:rPr>
          <w:b w:val="0"/>
          <w:i w:val="0"/>
        </w:rPr>
        <w:t>Cloned-amplicon Sanger sequencing provides accurate but low-throughput measurements of somatic hypermutation (SHM).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observed false-discovery proportions of 0.050 and 0.045, simulated lineages, and twelve loci from eleven laboratories across four sequencing platforms. Across five nanopore assays, SHMtrace reduced substitution calls in AID-null controls by 64–90% relative to the uncorrected Geneious rule. In four assays, AID-active and AID-null libraries showed 66–141-fold separation in unique-variant density under the stated zero-call convention. Nanopore reads preserved mutation linkage across the amplicon and yielded substitution spectra similar to Sanger sequencing of the same mice. Further datasets extended analysis to engineered diversification and class-switch junctions. SHMtrace provides a reproducible framework for control-informed analysis of AID-associated diversification.</w:t>
      </w:r>
    </w:p>
    <w:p>
      <w:pPr>
        <w:keepNext/>
        <w:spacing w:before="240"/>
      </w:pPr>
      <w:r>
        <w:rPr>
          <w:b/>
          <w:i w:val="0"/>
          <w:sz w:val="26"/>
        </w:rPr>
        <w:t>Keywords</w:t>
      </w:r>
    </w:p>
    <w:p>
      <w:r>
        <w:rPr>
          <w:b w:val="0"/>
          <w:i w:val="0"/>
        </w:rPr>
        <w:t>somatic hypermutation, activation-induced cytidine deaminase, nanopore sequencing, variant calling, negative controls, false-discovery rate, pseudoreplication, immunoglobulin, mutation trees, Sanger sequencing</w:t>
      </w:r>
    </w:p>
    <w:p>
      <w:pPr>
        <w:keepNext/>
        <w:spacing w:before="240"/>
      </w:pPr>
      <w:r>
        <w:rPr>
          <w:b/>
          <w:i w:val="0"/>
          <w:sz w:val="26"/>
        </w:rPr>
        <w:t>Introduction</w:t>
      </w:r>
    </w:p>
    <w:p>
      <w:r>
        <w:rPr>
          <w:b w:val="0"/>
          <w:i w:val="0"/>
        </w:rPr>
        <w:t>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substitutions at G:C and A:T base pairs</w:t>
      </w:r>
      <w:hyperlink w:anchor="ref_1" w:history="1">
        <w:r>
          <w:rPr>
            <w:i w:val="0"/>
            <w:color w:val="1F5FA8"/>
            <w:vertAlign w:val="superscript"/>
          </w:rPr>
          <w:t>1</w:t>
        </w:r>
      </w:hyperlink>
      <w:r>
        <w:rPr>
          <w:i w:val="0"/>
          <w:vertAlign w:val="superscript"/>
        </w:rPr>
        <w:t>–</w:t>
      </w:r>
      <w:hyperlink w:anchor="ref_3" w:history="1">
        <w:r>
          <w:rPr>
            <w:i w:val="0"/>
            <w:color w:val="1F5FA8"/>
            <w:vertAlign w:val="superscript"/>
          </w:rPr>
          <w:t>3</w:t>
        </w:r>
      </w:hyperlink>
      <w:r>
        <w:rPr>
          <w:b w:val="0"/>
          <w:i w:val="0"/>
        </w:rPr>
        <w:t>. Because each repair pathway leaves its own footprint, the frequency, position and spectrum of mutations are key readouts of AID activity and broader lesion processing</w:t>
      </w:r>
      <w:hyperlink w:anchor="ref_4" w:history="1">
        <w:r>
          <w:rPr>
            <w:i w:val="0"/>
            <w:color w:val="1F5FA8"/>
            <w:vertAlign w:val="superscript"/>
          </w:rPr>
          <w:t>4</w:t>
        </w:r>
      </w:hyperlink>
      <w:r>
        <w:rPr>
          <w:i w:val="0"/>
          <w:vertAlign w:val="superscript"/>
        </w:rPr>
        <w:t>–</w:t>
      </w:r>
      <w:hyperlink w:anchor="ref_7" w:history="1">
        <w:r>
          <w:rPr>
            <w:i w:val="0"/>
            <w:color w:val="1F5FA8"/>
            <w:vertAlign w:val="superscript"/>
          </w:rPr>
          <w:t>7</w:t>
        </w:r>
      </w:hyperlink>
      <w:r>
        <w:rPr>
          <w:b w:val="0"/>
          <w:i w:val="0"/>
        </w:rPr>
        <w:t>. Relatedly, the mouse J</w:t>
      </w:r>
      <w:r>
        <w:rPr>
          <w:i w:val="0"/>
          <w:vertAlign w:val="subscript"/>
        </w:rPr>
        <w:t>H</w:t>
      </w:r>
      <w:r>
        <w:rPr>
          <w:b w:val="0"/>
          <w:i w:val="0"/>
        </w:rPr>
        <w:t>4 downstream intron is widely used as a genomic reporter because it undergoes SHM without directly contributing to antigen binding</w:t>
      </w:r>
      <w:hyperlink w:anchor="ref_8" w:history="1">
        <w:r>
          <w:rPr>
            <w:i w:val="0"/>
            <w:color w:val="1F5FA8"/>
            <w:vertAlign w:val="superscript"/>
          </w:rPr>
          <w:t>8</w:t>
        </w:r>
      </w:hyperlink>
      <w:r>
        <w:rPr>
          <w:i w:val="0"/>
          <w:vertAlign w:val="superscript"/>
        </w:rPr>
        <w:t>,</w:t>
      </w:r>
      <w:hyperlink w:anchor="ref_9" w:history="1">
        <w:r>
          <w:rPr>
            <w:i w:val="0"/>
            <w:color w:val="1F5FA8"/>
            <w:vertAlign w:val="superscript"/>
          </w:rPr>
          <w:t>9</w:t>
        </w:r>
      </w:hyperlink>
      <w:r>
        <w:rPr>
          <w:b w:val="0"/>
          <w:i w:val="0"/>
        </w:rPr>
        <w:t>.</w:t>
      </w:r>
    </w:p>
    <w:p>
      <w:r>
        <w:rPr>
          <w:b w:val="0"/>
          <w:i w:val="0"/>
        </w:rPr>
        <w:t>AID activity read out from J</w:t>
      </w:r>
      <w:r>
        <w:rPr>
          <w:i w:val="0"/>
          <w:vertAlign w:val="subscript"/>
        </w:rPr>
        <w:t>H</w:t>
      </w:r>
      <w:r>
        <w:rPr>
          <w:b w:val="0"/>
          <w:i w:val="0"/>
        </w:rP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i w:val="0"/>
            <w:color w:val="1F5FA8"/>
            <w:vertAlign w:val="superscript"/>
          </w:rPr>
          <w:t>10</w:t>
        </w:r>
      </w:hyperlink>
      <w:r>
        <w:rPr>
          <w:b w:val="0"/>
          <w:i w:val="0"/>
        </w:rPr>
        <w:t>. Short reads typical of Illumina sequencers give depth but may not span the complete region</w:t>
      </w:r>
      <w:hyperlink w:anchor="ref_11" w:history="1">
        <w:r>
          <w:rPr>
            <w:i w:val="0"/>
            <w:color w:val="1F5FA8"/>
            <w:vertAlign w:val="superscript"/>
          </w:rPr>
          <w:t>11</w:t>
        </w:r>
      </w:hyperlink>
      <w:r>
        <w:rPr>
          <w:b w:val="0"/>
          <w:i w:val="0"/>
        </w:rPr>
        <w:t>. Long reads from ONT and PacBio span the J</w:t>
      </w:r>
      <w:r>
        <w:rPr>
          <w:i w:val="0"/>
          <w:vertAlign w:val="subscript"/>
        </w:rPr>
        <w:t>H</w:t>
      </w:r>
      <w:r>
        <w:rPr>
          <w:b w:val="0"/>
          <w:i w:val="0"/>
        </w:rPr>
        <w:t>4, so mutations stay linked across the amplicon, and nanopore accuracy now reaches modal values above 99% with R10.4.1 flow cells</w:t>
      </w:r>
      <w:hyperlink w:anchor="ref_12" w:history="1">
        <w:r>
          <w:rPr>
            <w:i w:val="0"/>
            <w:color w:val="1F5FA8"/>
            <w:vertAlign w:val="superscript"/>
          </w:rPr>
          <w:t>12</w:t>
        </w:r>
      </w:hyperlink>
      <w:r>
        <w:rPr>
          <w:i w:val="0"/>
          <w:vertAlign w:val="superscript"/>
        </w:rPr>
        <w:t>–</w:t>
      </w:r>
      <w:hyperlink w:anchor="ref_14" w:history="1">
        <w:r>
          <w:rPr>
            <w:i w:val="0"/>
            <w:color w:val="1F5FA8"/>
            <w:vertAlign w:val="superscript"/>
          </w:rPr>
          <w:t>14</w:t>
        </w:r>
      </w:hyperlink>
      <w:r>
        <w:rPr>
          <w:b w:val="0"/>
          <w:i w:val="0"/>
        </w:rPr>
        <w:t>; nanopore sequencing has also been used to sequence Ig genes, where consensus sequencing can absorb errors</w:t>
      </w:r>
      <w:hyperlink w:anchor="ref_15" w:history="1">
        <w:r>
          <w:rPr>
            <w:i w:val="0"/>
            <w:color w:val="1F5FA8"/>
            <w:vertAlign w:val="superscript"/>
          </w:rPr>
          <w:t>15</w:t>
        </w:r>
      </w:hyperlink>
      <w:r>
        <w:rPr>
          <w:i w:val="0"/>
          <w:vertAlign w:val="superscript"/>
        </w:rPr>
        <w:t>,</w:t>
      </w:r>
      <w:hyperlink w:anchor="ref_16" w:history="1">
        <w:r>
          <w:rPr>
            <w:i w:val="0"/>
            <w:color w:val="1F5FA8"/>
            <w:vertAlign w:val="superscript"/>
          </w:rPr>
          <w:t>16</w:t>
        </w:r>
      </w:hyperlink>
      <w:r>
        <w:rPr>
          <w:b w:val="0"/>
          <w:i w:val="0"/>
        </w:rPr>
        <w:t>. What all platforms, however, share is the need to separate AID-driven mutation from their own error. A wild-type J</w:t>
      </w:r>
      <w:r>
        <w:rPr>
          <w:i w:val="0"/>
          <w:vertAlign w:val="subscript"/>
        </w:rPr>
        <w:t>H</w:t>
      </w:r>
      <w:r>
        <w:rPr>
          <w:b w:val="0"/>
          <w:i w:val="0"/>
        </w:rP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i w:val="0"/>
            <w:color w:val="1F5FA8"/>
            <w:vertAlign w:val="superscript"/>
          </w:rPr>
          <w:t>17</w:t>
        </w:r>
      </w:hyperlink>
      <w:r>
        <w:rPr>
          <w:b w:val="0"/>
          <w:i w:val="0"/>
        </w:rPr>
        <w:t>.</w:t>
      </w:r>
    </w:p>
    <w:p>
      <w:r>
        <w:rPr>
          <w:b w:val="0"/>
          <w:i w:val="0"/>
        </w:rPr>
        <w:t>Two common analysis practices make this problem worse. First, general-purpose low-frequency variant callers judge each base by its own quality score</w:t>
      </w:r>
      <w:hyperlink w:anchor="ref_18" w:history="1">
        <w:r>
          <w:rPr>
            <w:i w:val="0"/>
            <w:color w:val="1F5FA8"/>
            <w:vertAlign w:val="superscript"/>
          </w:rPr>
          <w:t>18</w:t>
        </w:r>
      </w:hyperlink>
      <w:r>
        <w:rPr>
          <w:b w:val="0"/>
          <w:i w:val="0"/>
        </w:rPr>
        <w:t>, and the simple rules used in commercial software test candidates one at a time without correcting for the number of tests</w:t>
      </w:r>
      <w:hyperlink w:anchor="ref_19" w:history="1">
        <w:r>
          <w:rPr>
            <w:i w:val="0"/>
            <w:color w:val="1F5FA8"/>
            <w:vertAlign w:val="superscript"/>
          </w:rPr>
          <w:t>19</w:t>
        </w:r>
      </w:hyperlink>
      <w:r>
        <w:rPr>
          <w:b w:val="0"/>
          <w:i w:val="0"/>
        </w:rPr>
        <w:t>. In the configurations evaluated here, neither measures the errors a particular library makes, so mismatches that recur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i w:val="0"/>
            <w:color w:val="1F5FA8"/>
            <w:vertAlign w:val="superscript"/>
          </w:rPr>
          <w:t>20</w:t>
        </w:r>
      </w:hyperlink>
      <w:r>
        <w:rPr>
          <w:b w:val="0"/>
          <w:i w:val="0"/>
        </w:rPr>
        <w:t>. Matched AID-null libraries address technical background, whereas group comparisons must account for biological replication by using one summary value per animal. Existing SHM software summarises previously identified mutations</w:t>
      </w:r>
      <w:hyperlink w:anchor="ref_21" w:history="1">
        <w:r>
          <w:rPr>
            <w:i w:val="0"/>
            <w:color w:val="1F5FA8"/>
            <w:vertAlign w:val="superscript"/>
          </w:rPr>
          <w:t>21</w:t>
        </w:r>
      </w:hyperlink>
      <w:r>
        <w:rPr>
          <w:i w:val="0"/>
          <w:vertAlign w:val="superscript"/>
        </w:rPr>
        <w:t>–</w:t>
      </w:r>
      <w:hyperlink w:anchor="ref_23" w:history="1">
        <w:r>
          <w:rPr>
            <w:i w:val="0"/>
            <w:color w:val="1F5FA8"/>
            <w:vertAlign w:val="superscript"/>
          </w:rPr>
          <w:t>23</w:t>
        </w:r>
      </w:hyperlink>
      <w:r>
        <w:rPr>
          <w:b w:val="0"/>
          <w:i w:val="0"/>
        </w:rPr>
        <w:t xml:space="preserve"> but does not use matched AID-null controls to distinguish candidate variants from technical background.</w:t>
      </w:r>
    </w:p>
    <w:p>
      <w:r>
        <w:rPr>
          <w:b w:val="0"/>
          <w:i w:val="0"/>
        </w:rPr>
        <w:t>Here we describe SHMtrace, which integrates variant calling calibrated against matched AID-null controls from the same sequencing run with mutation profiling and group comparisons across independent biological replicates, starting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i w:val="0"/>
            <w:color w:val="1F5FA8"/>
            <w:vertAlign w:val="superscript"/>
          </w:rPr>
          <w:t>18</w:t>
        </w:r>
      </w:hyperlink>
      <w:r>
        <w:rPr>
          <w:b w:val="0"/>
          <w:i w:val="0"/>
        </w:rPr>
        <w:t>,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the germline callers Clair3</w:t>
      </w:r>
      <w:hyperlink w:anchor="ref_26" w:history="1">
        <w:r>
          <w:rPr>
            <w:i w:val="0"/>
            <w:color w:val="1F5FA8"/>
            <w:vertAlign w:val="superscript"/>
          </w:rPr>
          <w:t>26</w:t>
        </w:r>
      </w:hyperlink>
      <w:r>
        <w:rPr>
          <w:b w:val="0"/>
          <w:i w:val="0"/>
        </w:rPr>
        <w:t xml:space="preserve"> and DeepVariant</w:t>
      </w:r>
      <w:hyperlink w:anchor="ref_27" w:history="1">
        <w:r>
          <w:rPr>
            <w:i w:val="0"/>
            <w:color w:val="1F5FA8"/>
            <w:vertAlign w:val="superscript"/>
          </w:rPr>
          <w:t>27</w:t>
        </w:r>
      </w:hyperlink>
      <w:r>
        <w:rPr>
          <w:b w:val="0"/>
          <w:i w:val="0"/>
        </w:rPr>
        <w:t>, and the uncorrected Geneious test</w:t>
      </w:r>
      <w:hyperlink w:anchor="ref_19" w:history="1">
        <w:r>
          <w:rPr>
            <w:i w:val="0"/>
            <w:color w:val="1F5FA8"/>
            <w:vertAlign w:val="superscript"/>
          </w:rPr>
          <w:t>19</w:t>
        </w:r>
      </w:hyperlink>
      <w:r>
        <w:rPr>
          <w:b w:val="0"/>
          <w:i w:val="0"/>
        </w:rPr>
        <w:t>.</w:t>
      </w:r>
    </w:p>
    <w:p>
      <w:pPr>
        <w:keepNext/>
        <w:spacing w:before="240"/>
      </w:pPr>
      <w:r>
        <w:rPr>
          <w:b/>
          <w:i w:val="0"/>
          <w:sz w:val="26"/>
        </w:rPr>
        <w:t>Results</w:t>
      </w:r>
    </w:p>
    <w:p>
      <w:pPr>
        <w:keepNext/>
        <w:spacing w:before="160"/>
      </w:pPr>
      <w:r>
        <w:rPr>
          <w:b/>
          <w:i w:val="0"/>
          <w:sz w:val="23"/>
        </w:rPr>
        <w:t>SHMtrace calibrates substitutions against AID-null controls</w:t>
      </w:r>
    </w:p>
    <w:p>
      <w:r>
        <w:rPr>
          <w:b w:val="0"/>
          <w:i w:val="0"/>
        </w:rPr>
        <w:t>SHMtrace starts from the files that a sequencing provider or core facility returns (</w:t>
      </w:r>
      <w:hyperlink w:anchor="fig_1" w:history="1">
        <w:r>
          <w:rPr>
            <w:b w:val="0"/>
            <w:i w:val="0"/>
            <w:color w:val="1F5FA8"/>
          </w:rPr>
          <w:t>Figures 1</w:t>
        </w:r>
      </w:hyperlink>
      <w:r>
        <w:rPr>
          <w:b w:val="0"/>
          <w:i w:val="0"/>
        </w:rPr>
        <w:t xml:space="preserve"> and </w:t>
      </w:r>
      <w:hyperlink w:anchor="fig_S1" w:history="1">
        <w:r>
          <w:rPr>
            <w:b w:val="0"/>
            <w:i w:val="0"/>
            <w:color w:val="1F5FA8"/>
          </w:rPr>
          <w:t>S1</w:t>
        </w:r>
      </w:hyperlink>
      <w:r>
        <w:rPr>
          <w:b w:val="0"/>
          <w:i w:val="0"/>
        </w:rPr>
        <w:t>). Nanopore and Illumina reads are first filtered by length and expected error</w:t>
      </w:r>
      <w:hyperlink w:anchor="ref_28" w:history="1">
        <w:r>
          <w:rPr>
            <w:i w:val="0"/>
            <w:color w:val="1F5FA8"/>
            <w:vertAlign w:val="superscript"/>
          </w:rPr>
          <w:t>28</w:t>
        </w:r>
      </w:hyperlink>
      <w:r>
        <w:rPr>
          <w:b w:val="0"/>
          <w:i w:val="0"/>
        </w:rPr>
        <w:t xml:space="preserve"> and then aligned with minimap2</w:t>
      </w:r>
      <w:hyperlink w:anchor="ref_29" w:history="1">
        <w:r>
          <w:rPr>
            <w:i w:val="0"/>
            <w:color w:val="1F5FA8"/>
            <w:vertAlign w:val="superscript"/>
          </w:rPr>
          <w:t>29</w:t>
        </w:r>
      </w:hyperlink>
      <w:r>
        <w:rPr>
          <w:b w:val="0"/>
          <w:i w:val="0"/>
        </w:rPr>
        <w:t xml:space="preserve"> against the target together with competing references. Sanger chromatograms, by contrast, are assigned to animals through a sample sheet and trimmed to their high-quality core, and UMI-tagged reads can be collapsed to one consensus per molecule (STAR Methods).</w:t>
      </w:r>
    </w:p>
    <w:p>
      <w:r>
        <w:rPr>
          <w:b w:val="0"/>
          <w:i w:val="0"/>
        </w:rPr>
        <w:t>The central step is the variant test (</w:t>
      </w:r>
      <w:hyperlink w:anchor="fig_1" w:history="1">
        <w:r>
          <w:rPr>
            <w:b w:val="0"/>
            <w:i w:val="0"/>
            <w:color w:val="1F5FA8"/>
          </w:rPr>
          <w:t>Figures 1A</w:t>
        </w:r>
      </w:hyperlink>
      <w:r>
        <w:rPr>
          <w:b w:val="0"/>
          <w:i w:val="0"/>
        </w:rPr>
        <w:t xml:space="preserve"> and </w:t>
      </w:r>
      <w:hyperlink w:anchor="fig_1" w:history="1">
        <w:r>
          <w:rPr>
            <w:b w:val="0"/>
            <w:i w:val="0"/>
            <w:color w:val="1F5FA8"/>
          </w:rPr>
          <w:t>1C</w:t>
        </w:r>
      </w:hyperlink>
      <w:r>
        <w:rPr>
          <w:b w:val="0"/>
          <w:i w:val="0"/>
        </w:rPr>
        <w:t>). For each substitution type, strand and base quality, SHMtrace measures how often the AID-null libraries of the same run show that change, and then asks whether a candidate is supported by more reads than this background explains. Because quality scores overstate certainty at the highest qualities (</w:t>
      </w:r>
      <w:hyperlink w:anchor="fig_S2" w:history="1">
        <w:r>
          <w:rPr>
            <w:b w:val="0"/>
            <w:i w:val="0"/>
            <w:color w:val="1F5FA8"/>
          </w:rPr>
          <w:t>Figure S2</w:t>
        </w:r>
      </w:hyperlink>
      <w:r>
        <w:rPr>
          <w:b w:val="0"/>
          <w:i w:val="0"/>
        </w:rPr>
        <w:t>), the control rates are multiplied by a margin chosen by leaving one control out at a time. The held-out controls then serve as decoys, in an approach inspired by target–decoy analysis</w:t>
      </w:r>
      <w:hyperlink w:anchor="ref_30" w:history="1">
        <w:r>
          <w:rPr>
            <w:i w:val="0"/>
            <w:color w:val="1F5FA8"/>
            <w:vertAlign w:val="superscript"/>
          </w:rPr>
          <w:t>30</w:t>
        </w:r>
      </w:hyperlink>
      <w:r>
        <w:rPr>
          <w:b w:val="0"/>
          <w:i w:val="0"/>
        </w:rPr>
        <w:t>, and SHMtrace keeps the most permissive cutoff at which estimated false calls are at most 5% of calls. This is an empirical estimate rather than a guarantee, since it relies on a few controls representing the samples' background. Finally, alleles carried by at least half the reads are set aside as likely germline or parental differences; because a mutation shared by a dominant lineage can cross the same threshold, this is a heuristic, and every excluded site is reported.</w:t>
      </w:r>
    </w:p>
    <w:p>
      <w:r>
        <w:rPr>
          <w:b w:val="0"/>
          <w:i w:val="0"/>
        </w:rPr>
        <w:t>Because it weighs read support against measured background, the read-library test can retain a candidate supported by a single read; repeated sequencing of the same original molecule is not required. Sanger clones instead take a separate counting route (</w:t>
      </w:r>
      <w:hyperlink w:anchor="fig_1" w:history="1">
        <w:r>
          <w:rPr>
            <w:b w:val="0"/>
            <w:i w:val="0"/>
            <w:color w:val="1F5FA8"/>
          </w:rPr>
          <w:t>Figure 1C</w:t>
        </w:r>
      </w:hyperlink>
      <w:r>
        <w:rPr>
          <w:b w:val="0"/>
          <w:i w:val="0"/>
        </w:rPr>
        <w:t>): every substitution at base quality ≥ 20 is counted, and the AID-null clones' mismatch rate gives the expected background, reported beside the counts rather than subtracted. The germline filter, window, automatic checks and animal-level comparisons are shared. The Sanger results below therefore test trace reading, counting, bookkeeping and group comparisons, not the control-calibrated test.</w:t>
      </w:r>
    </w:p>
    <w:p>
      <w:r>
        <w:rPr>
          <w:b w:val="0"/>
          <w:i w:val="0"/>
        </w:rPr>
        <w:t>Two C-to-T candidates in an external wild-type Sμ library (WT3) illustrate how matched controls separate mutations from recurrent background (</w:t>
      </w:r>
      <w:hyperlink w:anchor="fig_2" w:history="1">
        <w:r>
          <w:rPr>
            <w:b w:val="0"/>
            <w:i w:val="0"/>
            <w:color w:val="1F5FA8"/>
          </w:rPr>
          <w:t>Figure 2</w:t>
        </w:r>
      </w:hyperlink>
      <w:r>
        <w:rPr>
          <w:b w:val="0"/>
          <w:i w:val="0"/>
        </w:rPr>
        <w:t>). Both had support on both strands and similar base qualities. However, no control supported the substitution at position 165, within a WRC hotspot, at Q≥20, whereas the substitution at position 97 recurred in the controls. SHMtrace therefore retained position 165 (p = 5 × 10</w:t>
      </w:r>
      <w:r>
        <w:rPr>
          <w:i w:val="0"/>
          <w:vertAlign w:val="superscript"/>
        </w:rPr>
        <w:t>−19</w:t>
      </w:r>
      <w:r>
        <w:rPr>
          <w:b w:val="0"/>
          <w:i w:val="0"/>
        </w:rPr>
        <w:t>) and rejected position 97 (p = 1). Across WT3, 88 of 743 candidates met the threshold (p ≤ 0.009).</w:t>
      </w:r>
    </w:p>
    <w:p>
      <w:r>
        <w:rPr>
          <w:b w:val="0"/>
          <w:i w:val="0"/>
        </w:rPr>
        <w:t>Downstream, SHMtrace compares groups using one summary value per biological replicate, with Welch tests on log-transformed rates, bootstrapped negative-binomial tests and permutation tests (</w:t>
      </w:r>
      <w:hyperlink w:anchor="fig_1" w:history="1">
        <w:r>
          <w:rPr>
            <w:b w:val="0"/>
            <w:i w:val="0"/>
            <w:color w:val="1F5FA8"/>
          </w:rPr>
          <w:t>Figure 1D</w:t>
        </w:r>
      </w:hyperlink>
      <w:r>
        <w:rPr>
          <w:b w:val="0"/>
          <w:i w:val="0"/>
        </w:rPr>
        <w:t>). It also describes spectra, hotspot use, S5F targeting</w:t>
      </w:r>
      <w:hyperlink w:anchor="ref_23" w:history="1">
        <w:r>
          <w:rPr>
            <w:i w:val="0"/>
            <w:color w:val="1F5FA8"/>
            <w:vertAlign w:val="superscript"/>
          </w:rPr>
          <w:t>23</w:t>
        </w:r>
      </w:hyperlink>
      <w:r>
        <w:rPr>
          <w:b w:val="0"/>
          <w:i w:val="0"/>
        </w:rPr>
        <w:t xml:space="preserve"> and clustering, estimates uncalled single-read mutations in aggregate, groups reads into junction-defined clones and reconstructs read-level trees (</w:t>
      </w:r>
      <w:hyperlink w:anchor="fig_S3" w:history="1">
        <w:r>
          <w:rPr>
            <w:b w:val="0"/>
            <w:i w:val="0"/>
            <w:color w:val="1F5FA8"/>
          </w:rPr>
          <w:t>Figure S3</w:t>
        </w:r>
      </w:hyperlink>
      <w:r>
        <w:rPr>
          <w:b w:val="0"/>
          <w:i w:val="0"/>
        </w:rPr>
        <w:t>). The desktop and command-line interfaces share one analysis engine.</w:t>
      </w:r>
    </w:p>
    <w:p>
      <w:pPr>
        <w:keepNext/>
        <w:spacing w:before="160"/>
      </w:pPr>
      <w:r>
        <w:rPr>
          <w:b/>
          <w:i w:val="0"/>
          <w:sz w:val="23"/>
        </w:rPr>
        <w:t>Planted mutations and simulated lineages quantify recall and false calls</w:t>
      </w:r>
    </w:p>
    <w:p>
      <w:r>
        <w:rPr>
          <w:b w:val="0"/>
          <w:i w:val="0"/>
        </w:rPr>
        <w:t>We planted 60 AID-weighted substitutions into each held-out control library, preserving base qualities and assigning 1–20 supporting reads per site, with three repetitions per control (</w:t>
      </w:r>
      <w:hyperlink w:anchor="fig_3" w:history="1">
        <w:r>
          <w:rPr>
            <w:b w:val="0"/>
            <w:i w:val="0"/>
            <w:color w:val="1F5FA8"/>
          </w:rPr>
          <w:t>Figure 3</w:t>
        </w:r>
      </w:hyperlink>
      <w:r>
        <w:rPr>
          <w:b w:val="0"/>
          <w:i w:val="0"/>
        </w:rPr>
        <w:t>). On J</w:t>
      </w:r>
      <w:r>
        <w:rPr>
          <w:i w:val="0"/>
          <w:vertAlign w:val="subscript"/>
        </w:rPr>
        <w:t>H</w:t>
      </w:r>
      <w:r>
        <w:rPr>
          <w:b w:val="0"/>
          <w:i w:val="0"/>
        </w:rP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b w:val="0"/>
            <w:i w:val="0"/>
            <w:color w:val="1F5FA8"/>
          </w:rPr>
          <w:t>Figures 3A</w:t>
        </w:r>
      </w:hyperlink>
      <w:r>
        <w:rPr>
          <w:b w:val="0"/>
          <w:i w:val="0"/>
        </w:rPr>
        <w:t xml:space="preserve"> and </w:t>
      </w:r>
      <w:hyperlink w:anchor="fig_3" w:history="1">
        <w:r>
          <w:rPr>
            <w:b w:val="0"/>
            <w:i w:val="0"/>
            <w:color w:val="1F5FA8"/>
          </w:rPr>
          <w:t>3D</w:t>
        </w:r>
      </w:hyperlink>
      <w:r>
        <w:rPr>
          <w:b w:val="0"/>
          <w:i w:val="0"/>
        </w:rPr>
        <w:t>).</w:t>
      </w:r>
    </w:p>
    <w:p>
      <w:r>
        <w:rPr>
          <w:b w:val="0"/>
          <w:i w:val="0"/>
        </w:rPr>
        <w:t>We also gave the long-read somatic callers ClairS</w:t>
      </w:r>
      <w:hyperlink w:anchor="ref_24" w:history="1">
        <w:r>
          <w:rPr>
            <w:i w:val="0"/>
            <w:color w:val="1F5FA8"/>
            <w:vertAlign w:val="superscript"/>
          </w:rPr>
          <w:t>24</w:t>
        </w:r>
      </w:hyperlink>
      <w:r>
        <w:rPr>
          <w:b w:val="0"/>
          <w:i w:val="0"/>
        </w:rPr>
        <w:t xml:space="preserve"> and DeepSomatic</w:t>
      </w:r>
      <w:hyperlink w:anchor="ref_25" w:history="1">
        <w:r>
          <w:rPr>
            <w:i w:val="0"/>
            <w:color w:val="1F5FA8"/>
            <w:vertAlign w:val="superscript"/>
          </w:rPr>
          <w:t>25</w:t>
        </w:r>
      </w:hyperlink>
      <w:r>
        <w:rPr>
          <w:b w:val="0"/>
          <w:i w:val="0"/>
        </w:rPr>
        <w:t xml:space="preserve"> the other AID-null libraries as matched normals. Neither recovered planted mutations at default settings, and even with permissive settings ClairS recovered none of 2,160 substitutions, while DeepSomatic recalled 19%, 18%, 5% and 3% on J</w:t>
      </w:r>
      <w:r>
        <w:rPr>
          <w:i w:val="0"/>
          <w:vertAlign w:val="subscript"/>
        </w:rPr>
        <w:t>H</w:t>
      </w:r>
      <w:r>
        <w:rPr>
          <w:b w:val="0"/>
          <w:i w:val="0"/>
        </w:rPr>
        <w:t>4, N114 V</w:t>
      </w:r>
      <w:r>
        <w:rPr>
          <w:i w:val="0"/>
          <w:vertAlign w:val="subscript"/>
        </w:rPr>
        <w:t>H</w:t>
      </w:r>
      <w:r>
        <w:rPr>
          <w:b w:val="0"/>
          <w:i w:val="0"/>
        </w:rPr>
        <w:t xml:space="preserve">, Sμ and </w:t>
      </w:r>
      <w:r>
        <w:rPr>
          <w:i/>
        </w:rPr>
        <w:t>Pim1</w:t>
      </w:r>
      <w:r>
        <w:rPr>
          <w:b w:val="0"/>
          <w:i w:val="0"/>
        </w:rPr>
        <w:t>, respectively. Their recall improved at higher allele fractions (</w:t>
      </w:r>
      <w:hyperlink w:anchor="fig_3" w:history="1">
        <w:r>
          <w:rPr>
            <w:b w:val="0"/>
            <w:i w:val="0"/>
            <w:color w:val="1F5FA8"/>
          </w:rPr>
          <w:t>Figure 3C</w:t>
        </w:r>
      </w:hyperlink>
      <w:r>
        <w:rPr>
          <w:b w:val="0"/>
          <w:i w:val="0"/>
        </w:rPr>
        <w:t>), but real SHM mostly lies below that range: 53% of 1,197 retained SHMtrace calls occurred in &lt;1% of reads (</w:t>
      </w:r>
      <w:hyperlink w:anchor="fig_2" w:history="1">
        <w:r>
          <w:rPr>
            <w:b w:val="0"/>
            <w:i w:val="0"/>
            <w:color w:val="1F5FA8"/>
          </w:rPr>
          <w:t>Figures 2E</w:t>
        </w:r>
      </w:hyperlink>
      <w:r>
        <w:rPr>
          <w:b w:val="0"/>
          <w:i w:val="0"/>
        </w:rPr>
        <w:t xml:space="preserve"> and </w:t>
      </w:r>
      <w:hyperlink w:anchor="fig_3" w:history="1">
        <w:r>
          <w:rPr>
            <w:b w:val="0"/>
            <w:i w:val="0"/>
            <w:color w:val="1F5FA8"/>
          </w:rPr>
          <w:t>3C</w:t>
        </w:r>
      </w:hyperlink>
      <w:r>
        <w:rPr>
          <w:b w:val="0"/>
          <w:i w:val="0"/>
        </w:rPr>
        <w:t>). The germline callers Clair3 and DeepVariant recovered none, consistent with their intended use (</w:t>
      </w:r>
      <w:hyperlink w:anchor="tab_S1" w:history="1">
        <w:r>
          <w:rPr>
            <w:b w:val="0"/>
            <w:i w:val="0"/>
            <w:color w:val="1F5FA8"/>
          </w:rPr>
          <w:t>Table S1</w:t>
        </w:r>
      </w:hyperlink>
      <w:r>
        <w:rPr>
          <w:b w:val="0"/>
          <w:i w:val="0"/>
        </w:rPr>
        <w:t>).</w:t>
      </w:r>
    </w:p>
    <w:p>
      <w:r>
        <w:rPr>
          <w:b w:val="0"/>
          <w:i w:val="0"/>
        </w:rPr>
        <w:t>On N114 V</w:t>
      </w:r>
      <w:r>
        <w:rPr>
          <w:i w:val="0"/>
          <w:vertAlign w:val="subscript"/>
        </w:rPr>
        <w:t>H</w:t>
      </w:r>
      <w:r>
        <w:rPr>
          <w:b w:val="0"/>
          <w:i w:val="0"/>
        </w:rPr>
        <w:t xml:space="preserve">, SHMtrace recalled 90% of planted substitutions, including 58% supported by one read, with 2.6 false calls per library (FDP 0.045; </w:t>
      </w:r>
      <w:hyperlink w:anchor="fig_3" w:history="1">
        <w:r>
          <w:rPr>
            <w:b w:val="0"/>
            <w:i w:val="0"/>
            <w:color w:val="1F5FA8"/>
          </w:rPr>
          <w:t>Figure 3B</w:t>
        </w:r>
      </w:hyperlink>
      <w:r>
        <w:rPr>
          <w:b w:val="0"/>
          <w:i w:val="0"/>
        </w:rPr>
        <w:t xml:space="preserve">). Here Geneious performed similarly, recalling 88% with 2.8 false calls (FDP 0.050), whereas LoFreq without base-alignment quality recalled 34%. On external Sμ and </w:t>
      </w:r>
      <w:r>
        <w:rPr>
          <w:i/>
        </w:rPr>
        <w:t>Pim1</w:t>
      </w:r>
      <w:r>
        <w:rPr>
          <w:b w:val="0"/>
          <w:i w:val="0"/>
        </w:rPr>
        <w:t xml:space="preserve"> controls at 2,000 reads, SHMtrace recalled 63% and 72% at FDP 0.055 and 0.035, compared with 59% and 64% for Geneious at FDP 0.114 and 0.050; LoFreq recalled 0–26%, with permissive FDP 0.27–0.52 (</w:t>
      </w:r>
      <w:hyperlink w:anchor="fig_3" w:history="1">
        <w:r>
          <w:rPr>
            <w:b w:val="0"/>
            <w:i w:val="0"/>
            <w:color w:val="1F5FA8"/>
          </w:rPr>
          <w:t>Figure 3D</w:t>
        </w:r>
      </w:hyperlink>
      <w:r>
        <w:rPr>
          <w:b w:val="0"/>
          <w:i w:val="0"/>
        </w:rPr>
        <w:t>). To isolate what the controls contribute, two ablations used the same libraries. Without controls, a read-quality test made 5.7–46.6 false calls per library; testing each site against its control error rate instead made 1.3–2.8, but recalled only 27–64%, against SHMtrace's 63–90% (</w:t>
      </w:r>
      <w:hyperlink w:anchor="tab_S1" w:history="1">
        <w:r>
          <w:rPr>
            <w:b w:val="0"/>
            <w:i w:val="0"/>
            <w:color w:val="1F5FA8"/>
          </w:rPr>
          <w:t>Table S1</w:t>
        </w:r>
      </w:hyperlink>
      <w:r>
        <w:rPr>
          <w:b w:val="0"/>
          <w:i w:val="0"/>
        </w:rPr>
        <w:t>). Measured background therefore removes most false calls, and the calibrated test recovers the sensitivity a simple per-site comparison loses.</w:t>
      </w:r>
    </w:p>
    <w:p>
      <w:r>
        <w:rPr>
          <w:b w:val="0"/>
          <w:i w:val="0"/>
        </w:rPr>
        <w:t>We then called the same libraries at targets from 1% to 30% to test whether the threshold delivers the rate it targets. At the default 5%, the pooled false-discovery proportion was 3.5–5.5% across the four loci, and looser targets stayed at or below their stated rate except J</w:t>
      </w:r>
      <w:r>
        <w:rPr>
          <w:i w:val="0"/>
          <w:vertAlign w:val="subscript"/>
        </w:rPr>
        <w:t>H</w:t>
      </w:r>
      <w:r>
        <w:rPr>
          <w:b w:val="0"/>
          <w:i w:val="0"/>
        </w:rPr>
        <w:t>4 at 10% (13.8%) (</w:t>
      </w:r>
      <w:hyperlink w:anchor="fig_S4" w:history="1">
        <w:r>
          <w:rPr>
            <w:b w:val="0"/>
            <w:i w:val="0"/>
            <w:color w:val="1F5FA8"/>
          </w:rPr>
          <w:t>Figure S4A</w:t>
        </w:r>
      </w:hyperlink>
      <w:r>
        <w:rPr>
          <w:b w:val="0"/>
          <w:i w:val="0"/>
        </w:rPr>
        <w:t>). Targets below 5%, however, did not deliver their stated rate on J</w:t>
      </w:r>
      <w:r>
        <w:rPr>
          <w:i w:val="0"/>
          <w:vertAlign w:val="subscript"/>
        </w:rPr>
        <w:t>H</w:t>
      </w:r>
      <w:r>
        <w:rPr>
          <w:b w:val="0"/>
          <w:i w:val="0"/>
        </w:rPr>
        <w:t xml:space="preserve">4, Sμ or </w:t>
      </w:r>
      <w:r>
        <w:rPr>
          <w:i/>
        </w:rPr>
        <w:t>Pim1</w:t>
      </w:r>
      <w:r>
        <w:rPr>
          <w:b w:val="0"/>
          <w:i w:val="0"/>
        </w:rPr>
        <w:t xml:space="preserve"> (2.0–6.1% at a 1% target; N114 V</w:t>
      </w:r>
      <w:r>
        <w:rPr>
          <w:i w:val="0"/>
          <w:vertAlign w:val="subscript"/>
        </w:rPr>
        <w:t>H</w:t>
      </w:r>
      <w:r>
        <w:rPr>
          <w:b w:val="0"/>
          <w:i w:val="0"/>
        </w:rPr>
        <w:t>, 0.5%): false calls per library levelled off while recall fell, from 81% to 17% on J</w:t>
      </w:r>
      <w:r>
        <w:rPr>
          <w:i w:val="0"/>
          <w:vertAlign w:val="subscript"/>
        </w:rPr>
        <w:t>H</w:t>
      </w:r>
      <w:r>
        <w:rPr>
          <w:b w:val="0"/>
          <w:i w:val="0"/>
        </w:rPr>
        <w:t>4 (</w:t>
      </w:r>
      <w:hyperlink w:anchor="fig_S4" w:history="1">
        <w:r>
          <w:rPr>
            <w:b w:val="0"/>
            <w:i w:val="0"/>
            <w:color w:val="1F5FA8"/>
          </w:rPr>
          <w:t>Figures S4B</w:t>
        </w:r>
      </w:hyperlink>
      <w:r>
        <w:rPr>
          <w:b w:val="0"/>
          <w:i w:val="0"/>
        </w:rPr>
        <w:t xml:space="preserve"> and </w:t>
      </w:r>
      <w:hyperlink w:anchor="fig_S4" w:history="1">
        <w:r>
          <w:rPr>
            <w:b w:val="0"/>
            <w:i w:val="0"/>
            <w:color w:val="1F5FA8"/>
          </w:rPr>
          <w:t>S4C</w:t>
        </w:r>
      </w:hyperlink>
      <w:r>
        <w:rPr>
          <w:b w:val="0"/>
          <w:i w:val="0"/>
        </w:rPr>
        <w:t>).</w:t>
      </w:r>
    </w:p>
    <w:p>
      <w:r>
        <w:rPr>
          <w:b w:val="0"/>
          <w:i w:val="0"/>
        </w:rPr>
        <w:t>Because everything rests on the controls, we next varied them through the whole procedure on J</w:t>
      </w:r>
      <w:r>
        <w:rPr>
          <w:i w:val="0"/>
          <w:vertAlign w:val="subscript"/>
        </w:rPr>
        <w:t>H</w:t>
      </w:r>
      <w:r>
        <w:rPr>
          <w:b w:val="0"/>
          <w:i w:val="0"/>
        </w:rPr>
        <w:t>4 (</w:t>
      </w:r>
      <w:hyperlink w:anchor="fig_S5" w:history="1">
        <w:r>
          <w:rPr>
            <w:b w:val="0"/>
            <w:i w:val="0"/>
            <w:color w:val="1F5FA8"/>
          </w:rPr>
          <w:t>Figure S5</w:t>
        </w:r>
      </w:hyperlink>
      <w:r>
        <w:rPr>
          <w:b w:val="0"/>
          <w:i w:val="0"/>
        </w:rPr>
        <w:t>). One control leaves no decoys, so the threshold falls back to Benjamini–Hochberg; it recalled 68% of planted lineage mutations, against 93% with two controls and 95% with three or four, with false-discovery proportions of 2.8–3.1% for the two- to four-control designs. All-null libraries yielded no calls with any number of controls (40 runs), and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r>
        <w:rPr>
          <w:b w:val="0"/>
          <w:i w:val="0"/>
        </w:rPr>
        <w:t>Planted mutations lack the clonality and clustering of real SHM, so we also diluted real hypermutated reads into AID-null reads (</w:t>
      </w:r>
      <w:hyperlink w:anchor="fig_S6" w:history="1">
        <w:r>
          <w:rPr>
            <w:b w:val="0"/>
            <w:i w:val="0"/>
            <w:color w:val="1F5FA8"/>
          </w:rPr>
          <w:t>Figure S6</w:t>
        </w:r>
      </w:hyperlink>
      <w:r>
        <w:rPr>
          <w:b w:val="0"/>
          <w:i w:val="0"/>
        </w:rPr>
        <w:t>). On N114 V</w:t>
      </w:r>
      <w:r>
        <w:rPr>
          <w:i w:val="0"/>
          <w:vertAlign w:val="subscript"/>
        </w:rPr>
        <w:t>H</w:t>
      </w:r>
      <w:r>
        <w:rPr>
          <w:b w:val="0"/>
          <w:i w:val="0"/>
        </w:rPr>
        <w:t>, mutation frequency was 0.87–0.97 of the expected value at 25–50% donor reads, and calls were made from 1–5% donor reads. On J</w:t>
      </w:r>
      <w:r>
        <w:rPr>
          <w:i w:val="0"/>
          <w:vertAlign w:val="subscript"/>
        </w:rPr>
        <w:t>H</w:t>
      </w:r>
      <w:r>
        <w:rPr>
          <w:b w:val="0"/>
          <w:i w:val="0"/>
        </w:rPr>
        <w:t>4, in contrast, detection was all-or-nothing and depended on the donor: calls began at 2% donor reads for Wt3 and at 50% for Wt2, with no call below that.</w:t>
      </w:r>
    </w:p>
    <w:p>
      <w:r>
        <w:rPr>
          <w:b w:val="0"/>
          <w:i w:val="0"/>
        </w:rPr>
        <w:t>Indels were validated in the same way, with ten planted insertions or deletions of 1–40 bp per library, supported by 1–20 reads, eight draws per control and error models fitted to the other controls. Among events supported by at least three reads, recall was 72% on J</w:t>
      </w:r>
      <w:r>
        <w:rPr>
          <w:i w:val="0"/>
          <w:vertAlign w:val="subscript"/>
        </w:rPr>
        <w:t>H</w:t>
      </w:r>
      <w:r>
        <w:rPr>
          <w:b w:val="0"/>
          <w:i w:val="0"/>
        </w:rPr>
        <w:t>4 and 91% on N114 V</w:t>
      </w:r>
      <w:r>
        <w:rPr>
          <w:i w:val="0"/>
          <w:vertAlign w:val="subscript"/>
        </w:rPr>
        <w:t>H</w:t>
      </w:r>
      <w:r>
        <w:rPr>
          <w:b w:val="0"/>
          <w:i w:val="0"/>
        </w:rPr>
        <w:t>, with 0.33 and zero false calls per library; events supported by one or two reads fall below the three-read requirement. Single-base homopolymer deletions in J</w:t>
      </w:r>
      <w:r>
        <w:rPr>
          <w:i w:val="0"/>
          <w:vertAlign w:val="subscript"/>
        </w:rPr>
        <w:t>H</w:t>
      </w:r>
      <w:r>
        <w:rPr>
          <w:b w:val="0"/>
          <w:i w:val="0"/>
        </w:rPr>
        <w:t>4 were the least reliably recovered (19%), whereas recall was 100% for 2-bp insertions and 89% for deletions ≥10 bp (</w:t>
      </w:r>
      <w:hyperlink w:anchor="fig_S7" w:history="1">
        <w:r>
          <w:rPr>
            <w:b w:val="0"/>
            <w:i w:val="0"/>
            <w:color w:val="1F5FA8"/>
          </w:rPr>
          <w:t>Figure S7</w:t>
        </w:r>
      </w:hyperlink>
      <w:r>
        <w:rPr>
          <w:b w:val="0"/>
          <w:i w:val="0"/>
        </w:rPr>
        <w:t>).</w:t>
      </w:r>
    </w:p>
    <w:p>
      <w:r>
        <w:rPr>
          <w:b w:val="0"/>
          <w:i w:val="0"/>
        </w:rPr>
        <w:t>We next simulated approximately 40 B-cell clones per J</w:t>
      </w:r>
      <w:r>
        <w:rPr>
          <w:i w:val="0"/>
          <w:vertAlign w:val="subscript"/>
        </w:rPr>
        <w:t>H</w:t>
      </w:r>
      <w:r>
        <w:rPr>
          <w:b w:val="0"/>
          <w:i w:val="0"/>
        </w:rPr>
        <w:t>4 library, with clone sizes following a power-law distribution (</w:t>
      </w:r>
      <w:hyperlink w:anchor="fig_S8" w:history="1">
        <w:r>
          <w:rPr>
            <w:b w:val="0"/>
            <w:i w:val="0"/>
            <w:color w:val="1F5FA8"/>
          </w:rPr>
          <w:t>Figure S8A</w:t>
        </w:r>
      </w:hyperlink>
      <w:r>
        <w:rPr>
          <w:b w:val="0"/>
          <w:i w:val="0"/>
        </w:rPr>
        <w:t>). SHMtrace recalled 83% of single-read mutations versus 57% for Geneious, with FDP 0.037 versus 0.012 and 13.7 versus 4.0 false calls per library. In null libraries, false calls averaged 0.7 versus 4.3. When an unmutated clone contributed 60% of reads, read-weighted frequency was 6.2 versus a true 6.0 per 10</w:t>
      </w:r>
      <w:r>
        <w:rPr>
          <w:i w:val="0"/>
          <w:vertAlign w:val="superscript"/>
        </w:rPr>
        <w:t>3</w:t>
      </w:r>
      <w:r>
        <w:rPr>
          <w:b w:val="0"/>
          <w:i w:val="0"/>
        </w:rPr>
        <w:t xml:space="preserve"> bp, while the majority-rule clone-weighted measure recovered 94% of its corresponding true burden (14.6 versus 15.5; </w:t>
      </w:r>
      <w:hyperlink w:anchor="fig_S8" w:history="1">
        <w:r>
          <w:rPr>
            <w:b w:val="0"/>
            <w:i w:val="0"/>
            <w:color w:val="1F5FA8"/>
          </w:rPr>
          <w:t>Figure S8B</w:t>
        </w:r>
      </w:hyperlink>
      <w:r>
        <w:rPr>
          <w:b w:val="0"/>
          <w:i w:val="0"/>
        </w:rPr>
        <w:t>).</w:t>
      </w:r>
    </w:p>
    <w:p>
      <w:r>
        <w:rPr>
          <w:b w:val="0"/>
          <w:i w:val="0"/>
        </w:rPr>
        <w:t>Because that dominant clone was unmutated, it could not trigger the ≥50% allele filter. When we repeated the simulation with a mutated dominant clone, nothing was lost at 40% abundance, but all mutations crossing the threshold at 60% or 80% were removed, and read-weighted and clone-weighted estimates fell by as much as 62% and 34%, respectively (STAR Methods). Excluded sites are therefore reported for inspection.</w:t>
      </w:r>
    </w:p>
    <w:p>
      <w:r>
        <w:rPr>
          <w:b w:val="0"/>
          <w:i w:val="0"/>
        </w:rPr>
        <w:t>At 500 reads per library, read-weighted mutation frequencies were within 2% of the simulated values (</w:t>
      </w:r>
      <w:hyperlink w:anchor="fig_S8" w:history="1">
        <w:r>
          <w:rPr>
            <w:b w:val="0"/>
            <w:i w:val="0"/>
            <w:color w:val="1F5FA8"/>
          </w:rPr>
          <w:t>Figure S8C</w:t>
        </w:r>
      </w:hyperlink>
      <w:r>
        <w:rPr>
          <w:b w:val="0"/>
          <w:i w:val="0"/>
        </w:rPr>
        <w:t>). Unique-variant density was less consistently recovered, because it counts each distinct substitution once: as depth increases, additional reads carry mutations already counted, enlarging the denominator without adding variants. Adding the aggregate estimate of uncalled single-read mutations restored 96–100% of the true density (</w:t>
      </w:r>
      <w:hyperlink w:anchor="fig_S8" w:history="1">
        <w:r>
          <w:rPr>
            <w:b w:val="0"/>
            <w:i w:val="0"/>
            <w:color w:val="1F5FA8"/>
          </w:rPr>
          <w:t>Figures S8C</w:t>
        </w:r>
      </w:hyperlink>
      <w:r>
        <w:rPr>
          <w:b w:val="0"/>
          <w:i w:val="0"/>
        </w:rPr>
        <w:t xml:space="preserve"> and </w:t>
      </w:r>
      <w:hyperlink w:anchor="fig_S8" w:history="1">
        <w:r>
          <w:rPr>
            <w:b w:val="0"/>
            <w:i w:val="0"/>
            <w:color w:val="1F5FA8"/>
          </w:rPr>
          <w:t>S8D</w:t>
        </w:r>
      </w:hyperlink>
      <w:r>
        <w:rPr>
          <w:b w:val="0"/>
          <w:i w:val="0"/>
        </w:rPr>
        <w:t>). Comparisons of unique-variant density therefore require matched sequencing depth.</w:t>
      </w:r>
    </w:p>
    <w:p>
      <w:r>
        <w:rPr>
          <w:b w:val="0"/>
          <w:i w:val="0"/>
        </w:rPr>
        <w:t>Finally, we asked whether the group tests hold their stated error rate. In 300 simulations per condition, with a between-animal coefficient of variation of 1, pooled-read tests returned p &lt; 0.05 in 91% of 3-versus-3 and 94% of 5-versus-5 experiments without a true difference (</w:t>
      </w:r>
      <w:hyperlink w:anchor="fig_S8" w:history="1">
        <w:r>
          <w:rPr>
            <w:b w:val="0"/>
            <w:i w:val="0"/>
            <w:color w:val="1F5FA8"/>
          </w:rPr>
          <w:t>Figure S8E</w:t>
        </w:r>
      </w:hyperlink>
      <w:r>
        <w:rPr>
          <w:b w:val="0"/>
          <w:i w:val="0"/>
        </w:rPr>
        <w:t>), whereas negative-binomial rejection rates were 5.0% and 5.7%. With three animals per group, however, that test detected two-fold and four-fold changes in only 12% and 30% of simulations, illustrating the limited power at this sample size.</w:t>
      </w:r>
    </w:p>
    <w:p>
      <w:pPr>
        <w:keepNext/>
        <w:spacing w:before="160"/>
      </w:pPr>
      <w:r>
        <w:rPr>
          <w:b/>
          <w:i w:val="0"/>
          <w:sz w:val="23"/>
        </w:rPr>
        <w:t>Matched controls set the background in real libraries</w:t>
      </w:r>
    </w:p>
    <w:p>
      <w:r>
        <w:rPr>
          <w:b w:val="0"/>
          <w:i w:val="0"/>
        </w:rPr>
        <w:t>We next compared callers on real libraries with matched AID-null controls (</w:t>
      </w:r>
      <w:hyperlink w:anchor="tab_S2" w:history="1">
        <w:r>
          <w:rPr>
            <w:b w:val="0"/>
            <w:i w:val="0"/>
            <w:color w:val="1F5FA8"/>
          </w:rPr>
          <w:t>Table S2</w:t>
        </w:r>
      </w:hyperlink>
      <w:r>
        <w:rPr>
          <w:b w:val="0"/>
          <w:i w:val="0"/>
        </w:rPr>
        <w:t xml:space="preserve">; </w:t>
      </w:r>
      <w:hyperlink w:anchor="fig_4" w:history="1">
        <w:r>
          <w:rPr>
            <w:b w:val="0"/>
            <w:i w:val="0"/>
            <w:color w:val="1F5FA8"/>
          </w:rPr>
          <w:t>Figure 4</w:t>
        </w:r>
      </w:hyperlink>
      <w:r>
        <w:rPr>
          <w:b w:val="0"/>
          <w:i w:val="0"/>
        </w:rPr>
        <w:t>). These included our J</w:t>
      </w:r>
      <w:r>
        <w:rPr>
          <w:i w:val="0"/>
          <w:vertAlign w:val="subscript"/>
        </w:rPr>
        <w:t>H</w:t>
      </w:r>
      <w:r>
        <w:rPr>
          <w:b w:val="0"/>
          <w:i w:val="0"/>
        </w:rPr>
        <w:t xml:space="preserve">4 intron libraries from germinal-center B cells of three wild-type (Wt) and three </w:t>
      </w:r>
      <w:r>
        <w:rPr>
          <w:i/>
        </w:rPr>
        <w:t>Aicda</w:t>
      </w:r>
      <w:r>
        <w:rPr>
          <w:i w:val="0"/>
          <w:vertAlign w:val="superscript"/>
        </w:rPr>
        <w:t>−/−</w:t>
      </w:r>
      <w:r>
        <w:rPr>
          <w:b w:val="0"/>
          <w:i w:val="0"/>
        </w:rP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rPr>
          <w:b w:val="0"/>
          <w:i w:val="0"/>
        </w:rPr>
        <w:t>. Every caller analysed exactly the same reads (</w:t>
      </w:r>
      <w:hyperlink w:anchor="tab_S3" w:history="1">
        <w:r>
          <w:rPr>
            <w:b w:val="0"/>
            <w:i w:val="0"/>
            <w:color w:val="1F5FA8"/>
          </w:rPr>
          <w:t>Table S3</w:t>
        </w:r>
      </w:hyperlink>
      <w:r>
        <w:rPr>
          <w:b w:val="0"/>
          <w:i w:val="0"/>
        </w:rPr>
        <w:t>).</w:t>
      </w:r>
    </w:p>
    <w:p>
      <w:r>
        <w:rPr>
          <w:b w:val="0"/>
          <w:i w:val="0"/>
        </w:rPr>
        <w:t>Across these assays, SHMtrace retained 1–4 calls in the three controls, compared with 5–20 for Geneious (</w:t>
      </w:r>
      <w:hyperlink w:anchor="fig_4" w:history="1">
        <w:r>
          <w:rPr>
            <w:b w:val="0"/>
            <w:i w:val="0"/>
            <w:color w:val="1F5FA8"/>
          </w:rPr>
          <w:t>Figures 4A</w:t>
        </w:r>
      </w:hyperlink>
      <w:r>
        <w:rPr>
          <w:b w:val="0"/>
          <w:i w:val="0"/>
        </w:rPr>
        <w:t>–</w:t>
      </w:r>
      <w:hyperlink w:anchor="fig_4" w:history="1">
        <w:r>
          <w:rPr>
            <w:b w:val="0"/>
            <w:i w:val="0"/>
            <w:color w:val="1F5FA8"/>
          </w:rPr>
          <w:t>4E</w:t>
        </w:r>
      </w:hyperlink>
      <w:r>
        <w:rPr>
          <w:b w:val="0"/>
          <w:i w:val="0"/>
        </w:rPr>
        <w:t xml:space="preserve"> and </w:t>
      </w:r>
      <w:hyperlink w:anchor="fig_4" w:history="1">
        <w:r>
          <w:rPr>
            <w:b w:val="0"/>
            <w:i w:val="0"/>
            <w:color w:val="1F5FA8"/>
          </w:rPr>
          <w:t>4G</w:t>
        </w:r>
      </w:hyperlink>
      <w:r>
        <w:rPr>
          <w:b w:val="0"/>
          <w:i w:val="0"/>
        </w:rPr>
        <w:t>). As a result, geometric-mean unique-density separation, with zero-call controls assigned one-event values, reached 141-, 85-, 66- and 94-fold for J</w:t>
      </w:r>
      <w:r>
        <w:rPr>
          <w:i w:val="0"/>
          <w:vertAlign w:val="subscript"/>
        </w:rPr>
        <w:t>H</w:t>
      </w:r>
      <w:r>
        <w:rPr>
          <w:b w:val="0"/>
          <w:i w:val="0"/>
        </w:rPr>
        <w:t>4, N114 V</w:t>
      </w:r>
      <w:r>
        <w:rPr>
          <w:i w:val="0"/>
          <w:vertAlign w:val="subscript"/>
        </w:rPr>
        <w:t>H</w:t>
      </w:r>
      <w:r>
        <w:rPr>
          <w:b w:val="0"/>
          <w:i w:val="0"/>
        </w:rPr>
        <w:t>, primary-cell Sμ and CH12 Sμ, respectively, compared with 16–62-fold for Geneious and 2–40-fold for LoFreq configurations (</w:t>
      </w:r>
      <w:hyperlink w:anchor="fig_4" w:history="1">
        <w:r>
          <w:rPr>
            <w:b w:val="0"/>
            <w:i w:val="0"/>
            <w:color w:val="1F5FA8"/>
          </w:rPr>
          <w:t>Figure 4F</w:t>
        </w:r>
      </w:hyperlink>
      <w:r>
        <w:rPr>
          <w:b w:val="0"/>
          <w:i w:val="0"/>
        </w:rPr>
        <w:t>). At 500 reads, J</w:t>
      </w:r>
      <w:r>
        <w:rPr>
          <w:i w:val="0"/>
          <w:vertAlign w:val="subscript"/>
        </w:rPr>
        <w:t>H</w:t>
      </w:r>
      <w:r>
        <w:rPr>
          <w:b w:val="0"/>
          <w:i w:val="0"/>
        </w:rPr>
        <w:t>4 and N114 V</w:t>
      </w:r>
      <w:r>
        <w:rPr>
          <w:i w:val="0"/>
          <w:vertAlign w:val="subscript"/>
        </w:rPr>
        <w:t>H</w:t>
      </w:r>
      <w:r>
        <w:rPr>
          <w:b w:val="0"/>
          <w:i w:val="0"/>
        </w:rPr>
        <w:t xml:space="preserve"> had reached 90% and 59% of the most each library yielded at any depth, without establishing saturation (</w:t>
      </w:r>
      <w:hyperlink w:anchor="fig_S9" w:history="1">
        <w:r>
          <w:rPr>
            <w:b w:val="0"/>
            <w:i w:val="0"/>
            <w:color w:val="1F5FA8"/>
          </w:rPr>
          <w:t>Figures S9</w:t>
        </w:r>
      </w:hyperlink>
      <w:r>
        <w:rPr>
          <w:b w:val="0"/>
          <w:i w:val="0"/>
        </w:rPr>
        <w:t xml:space="preserve"> and </w:t>
      </w:r>
      <w:hyperlink w:anchor="fig_S10" w:history="1">
        <w:r>
          <w:rPr>
            <w:b w:val="0"/>
            <w:i w:val="0"/>
            <w:color w:val="1F5FA8"/>
          </w:rPr>
          <w:t>S10</w:t>
        </w:r>
      </w:hyperlink>
      <w:r>
        <w:rPr>
          <w:b w:val="0"/>
          <w:i w:val="0"/>
        </w:rPr>
        <w:t>). Background mismatches were position-dependent, yet separable from the abundant clone-shared calls of Wt libraries (</w:t>
      </w:r>
      <w:hyperlink w:anchor="fig_S11" w:history="1">
        <w:r>
          <w:rPr>
            <w:b w:val="0"/>
            <w:i w:val="0"/>
            <w:color w:val="1F5FA8"/>
          </w:rPr>
          <w:t>Figure S11</w:t>
        </w:r>
      </w:hyperlink>
      <w:r>
        <w:rPr>
          <w:b w:val="0"/>
          <w:i w:val="0"/>
        </w:rPr>
        <w:t>).</w:t>
      </w:r>
    </w:p>
    <w:p>
      <w:r>
        <w:rPr>
          <w:b w:val="0"/>
          <w:i w:val="0"/>
        </w:rPr>
        <w:t>Repertoire tools meet the same background from the other side. When the same N114 V</w:t>
      </w:r>
      <w:r>
        <w:rPr>
          <w:i w:val="0"/>
          <w:vertAlign w:val="subscript"/>
        </w:rPr>
        <w:t>H</w:t>
      </w:r>
      <w:r>
        <w:rPr>
          <w:b w:val="0"/>
          <w:i w:val="0"/>
        </w:rPr>
        <w:t xml:space="preserve"> reads were analyzed by IgBLAST</w:t>
      </w:r>
      <w:hyperlink w:anchor="ref_31" w:history="1">
        <w:r>
          <w:rPr>
            <w:i w:val="0"/>
            <w:color w:val="1F5FA8"/>
            <w:vertAlign w:val="superscript"/>
          </w:rPr>
          <w:t>31</w:t>
        </w:r>
      </w:hyperlink>
      <w:r>
        <w:rPr>
          <w:b w:val="0"/>
          <w:i w:val="0"/>
        </w:rPr>
        <w:t xml:space="preserve"> and SHazaM</w:t>
      </w:r>
      <w:hyperlink w:anchor="ref_22" w:history="1">
        <w:r>
          <w:rPr>
            <w:i w:val="0"/>
            <w:color w:val="1F5FA8"/>
            <w:vertAlign w:val="superscript"/>
          </w:rPr>
          <w:t>22</w:t>
        </w:r>
      </w:hyperlink>
      <w:r>
        <w:rPr>
          <w:b w:val="0"/>
          <w:i w:val="0"/>
        </w:rPr>
        <w:t>, which count every mismatch to the germline (</w:t>
      </w:r>
      <w:hyperlink w:anchor="fig_S12" w:history="1">
        <w:r>
          <w:rPr>
            <w:b w:val="0"/>
            <w:i w:val="0"/>
            <w:color w:val="1F5FA8"/>
          </w:rPr>
          <w:t>Figure S12</w:t>
        </w:r>
      </w:hyperlink>
      <w:r>
        <w:rPr>
          <w:b w:val="0"/>
          <w:i w:val="0"/>
        </w:rPr>
        <w:t>), the AID libraries were only 2-fold above the empty-vector libraries with the IMGT germline, because the parental line differs from it (99.3% identity) and sequencing errors count as mutations. Using the parental V as germline raised this to 6-fold, and masking bases below Q20 to 32-fold, compared with 188-fold for SHMtrace.</w:t>
      </w:r>
    </w:p>
    <w:p>
      <w:r>
        <w:rPr>
          <w:b w:val="0"/>
          <w:i w:val="0"/>
        </w:rPr>
        <w:t xml:space="preserve">Not every locus separated so clearly. At </w:t>
      </w:r>
      <w:r>
        <w:rPr>
          <w:i/>
        </w:rPr>
        <w:t>Pim1</w:t>
      </w:r>
      <w:r>
        <w:rPr>
          <w:b w:val="0"/>
          <w:i w:val="0"/>
        </w:rPr>
        <w:t>, mutation calls in AID-competent libraries remained close to the AID-null background: at 2,000 reads per library, SHMtrace yielded 1.8-fold separation, with four calls across the controls, compared with 1.6-fold and eleven control calls for Geneious. Increasing depth to all available reads (3,238–3,447 per library) did not clearly resolve the signal, with SHMtrace detecting 3–10 variants per AID-competent library and 0–3 per AID-null library, and Geneious 5–7 and 0–4, respectively (</w:t>
      </w:r>
      <w:hyperlink w:anchor="tab_S1" w:history="1">
        <w:r>
          <w:rPr>
            <w:b w:val="0"/>
            <w:i w:val="0"/>
            <w:color w:val="1F5FA8"/>
          </w:rPr>
          <w:t>Table S1</w:t>
        </w:r>
      </w:hyperlink>
      <w:r>
        <w:rPr>
          <w:b w:val="0"/>
          <w:i w:val="0"/>
        </w:rPr>
        <w:t>).</w:t>
      </w:r>
    </w:p>
    <w:p>
      <w:r>
        <w:rPr>
          <w:b w:val="0"/>
          <w:i w:val="0"/>
        </w:rPr>
        <w:t>Two CH12 AID off-target loci, off-target 1 and off-target 2, then tested a genetic perturbation expected to reduce AID targeting</w:t>
      </w:r>
      <w:hyperlink w:anchor="ref_32" w:history="1">
        <w:r>
          <w:rPr>
            <w:i w:val="0"/>
            <w:color w:val="1F5FA8"/>
            <w:vertAlign w:val="superscript"/>
          </w:rPr>
          <w:t>32</w:t>
        </w:r>
      </w:hyperlink>
      <w:r>
        <w:rPr>
          <w:b w:val="0"/>
          <w:i w:val="0"/>
        </w:rPr>
        <w:t xml:space="preserve">. Off-target 1 Wt libraries carried 69, 50, and 55 calls versus 0, 2, and 0 in </w:t>
      </w:r>
      <w:r>
        <w:rPr>
          <w:i/>
        </w:rPr>
        <w:t>Aicda</w:t>
      </w:r>
      <w:r>
        <w:rPr>
          <w:i w:val="0"/>
          <w:vertAlign w:val="superscript"/>
        </w:rPr>
        <w:t>−/−</w:t>
      </w:r>
      <w:r>
        <w:rPr>
          <w:b w:val="0"/>
          <w:i w:val="0"/>
        </w:rPr>
        <w:t xml:space="preserve"> controls, with densities of 3.07 versus 0.04 per 10</w:t>
      </w:r>
      <w:r>
        <w:rPr>
          <w:i w:val="0"/>
          <w:vertAlign w:val="superscript"/>
        </w:rPr>
        <w:t>5</w:t>
      </w:r>
      <w:r>
        <w:rPr>
          <w:b w:val="0"/>
          <w:i w:val="0"/>
        </w:rPr>
        <w:t xml:space="preserve"> bases (Welch p = 9.7 × 10</w:t>
      </w:r>
      <w:r>
        <w:rPr>
          <w:i w:val="0"/>
          <w:vertAlign w:val="superscript"/>
        </w:rPr>
        <w:t>−4</w:t>
      </w:r>
      <w:r>
        <w:rPr>
          <w:b w:val="0"/>
          <w:i w:val="0"/>
        </w:rPr>
        <w:t xml:space="preserve"> on log density). Off-target 2 counts were 42, 28, and 23 versus 2, 0, and 0, with densities of 1.68 versus 0.04 (p = 5.5 × 10</w:t>
      </w:r>
      <w:r>
        <w:rPr>
          <w:i w:val="0"/>
          <w:vertAlign w:val="superscript"/>
        </w:rPr>
        <w:t>−4</w:t>
      </w:r>
      <w:r>
        <w:rPr>
          <w:b w:val="0"/>
          <w:i w:val="0"/>
        </w:rPr>
        <w:t>), and G:C substitutions accounted for 97% of calls at both loci. MLLT1/MLLT3 double knockout reduced counts to 2, 0, and 2 at off-target 1 (0.07 per 10</w:t>
      </w:r>
      <w:r>
        <w:rPr>
          <w:i w:val="0"/>
          <w:vertAlign w:val="superscript"/>
        </w:rPr>
        <w:t>5</w:t>
      </w:r>
      <w:r>
        <w:rPr>
          <w:b w:val="0"/>
          <w:i w:val="0"/>
        </w:rPr>
        <w:t xml:space="preserve"> bases) and 1, 0, and 0 at off-target 2 (0.02), with no detected difference from </w:t>
      </w:r>
      <w:r>
        <w:rPr>
          <w:i/>
        </w:rPr>
        <w:t>Aicda</w:t>
      </w:r>
      <w:r>
        <w:rPr>
          <w:i w:val="0"/>
          <w:vertAlign w:val="superscript"/>
        </w:rPr>
        <w:t>−/−</w:t>
      </w:r>
      <w:r>
        <w:rPr>
          <w:b w:val="0"/>
          <w:i w:val="0"/>
        </w:rPr>
        <w:t xml:space="preserve"> controls (p = 0.51 and 0.43). We report no fold here, because a zero-count convention would determine its magnitude.</w:t>
      </w:r>
    </w:p>
    <w:p>
      <w:r>
        <w:rPr>
          <w:b w:val="0"/>
          <w:i w:val="0"/>
        </w:rPr>
        <w:t>These results depend on the error margin chosen from the controls. Without it, 5.4% of J</w:t>
      </w:r>
      <w:r>
        <w:rPr>
          <w:i w:val="0"/>
          <w:vertAlign w:val="subscript"/>
        </w:rPr>
        <w:t>H</w:t>
      </w:r>
      <w:r>
        <w:rPr>
          <w:b w:val="0"/>
          <w:i w:val="0"/>
        </w:rPr>
        <w:t>4 and 9.6% of N114 V</w:t>
      </w:r>
      <w:r>
        <w:rPr>
          <w:i w:val="0"/>
          <w:vertAlign w:val="subscript"/>
        </w:rPr>
        <w:t>H</w:t>
      </w:r>
      <w:r>
        <w:rPr>
          <w:b w:val="0"/>
          <w:i w:val="0"/>
        </w:rPr>
        <w:t xml:space="preserve"> held-out control tests fell below p &lt; 0.01; margins of five for the shared J</w:t>
      </w:r>
      <w:r>
        <w:rPr>
          <w:i w:val="0"/>
          <w:vertAlign w:val="subscript"/>
        </w:rPr>
        <w:t>H</w:t>
      </w:r>
      <w:r>
        <w:rPr>
          <w:b w:val="0"/>
          <w:i w:val="0"/>
        </w:rPr>
        <w:t>4 window and ten for full-length J</w:t>
      </w:r>
      <w:r>
        <w:rPr>
          <w:i w:val="0"/>
          <w:vertAlign w:val="subscript"/>
        </w:rPr>
        <w:t>H</w:t>
      </w:r>
      <w:r>
        <w:rPr>
          <w:b w:val="0"/>
          <w:i w:val="0"/>
        </w:rPr>
        <w:t>4 and N114 V</w:t>
      </w:r>
      <w:r>
        <w:rPr>
          <w:i w:val="0"/>
          <w:vertAlign w:val="subscript"/>
        </w:rPr>
        <w:t>H</w:t>
      </w:r>
      <w:r>
        <w:rPr>
          <w:b w:val="0"/>
          <w:i w:val="0"/>
        </w:rPr>
        <w:t xml:space="preserve"> reduced these to 1.0%, 0.7% and 0.5%, respectively (</w:t>
      </w:r>
      <w:hyperlink w:anchor="fig_4" w:history="1">
        <w:r>
          <w:rPr>
            <w:b w:val="0"/>
            <w:i w:val="0"/>
            <w:color w:val="1F5FA8"/>
          </w:rPr>
          <w:t>Figure 4H</w:t>
        </w:r>
      </w:hyperlink>
      <w:r>
        <w:rPr>
          <w:b w:val="0"/>
          <w:i w:val="0"/>
        </w:rPr>
        <w:t>). The margin calibrates the error model, whereas the separate decoy threshold estimates the false-discovery proportion.</w:t>
      </w:r>
    </w:p>
    <w:p>
      <w:pPr>
        <w:keepNext/>
        <w:spacing w:before="160"/>
      </w:pPr>
      <w:r>
        <w:rPr>
          <w:b/>
          <w:i w:val="0"/>
          <w:sz w:val="23"/>
        </w:rPr>
        <w:t>SHMtrace-generated nanopore and Sanger profiles agree in matched mice</w:t>
      </w:r>
    </w:p>
    <w:p>
      <w:r>
        <w:rPr>
          <w:b w:val="0"/>
          <w:i w:val="0"/>
        </w:rPr>
        <w:t>SHMtrace processed 182 Sanger chromatograms from the six nanopore-sequenced mice, retaining 134 clones after alignment and sequence-quality filtering for comparison across the shared 529-bp window (</w:t>
      </w:r>
      <w:hyperlink w:anchor="fig_5" w:history="1">
        <w:r>
          <w:rPr>
            <w:b w:val="0"/>
            <w:i w:val="0"/>
            <w:color w:val="1F5FA8"/>
          </w:rPr>
          <w:t>Figures 5</w:t>
        </w:r>
      </w:hyperlink>
      <w:r>
        <w:rPr>
          <w:b w:val="0"/>
          <w:i w:val="0"/>
        </w:rPr>
        <w:t xml:space="preserve"> and </w:t>
      </w:r>
      <w:hyperlink w:anchor="fig_S13" w:history="1">
        <w:r>
          <w:rPr>
            <w:b w:val="0"/>
            <w:i w:val="0"/>
            <w:color w:val="1F5FA8"/>
          </w:rPr>
          <w:t>S13</w:t>
        </w:r>
      </w:hyperlink>
      <w:r>
        <w:rPr>
          <w:b w:val="0"/>
          <w:i w:val="0"/>
        </w:rPr>
        <w:t xml:space="preserve">). SHMtrace-derived mutation profiles distinguished Wt from </w:t>
      </w:r>
      <w:r>
        <w:rPr>
          <w:i/>
        </w:rPr>
        <w:t>Aicda</w:t>
      </w:r>
      <w:r>
        <w:rPr>
          <w:i w:val="0"/>
          <w:vertAlign w:val="superscript"/>
        </w:rPr>
        <w:t>−/−</w:t>
      </w:r>
      <w:r>
        <w:rPr>
          <w:b w:val="0"/>
          <w:i w:val="0"/>
        </w:rPr>
        <w:t xml:space="preserve"> mice on both platforms: Sanger showed 38-fold separation (p = 8.8 × 10</w:t>
      </w:r>
      <w:r>
        <w:rPr>
          <w:i w:val="0"/>
          <w:vertAlign w:val="superscript"/>
        </w:rPr>
        <w:t>−4</w:t>
      </w:r>
      <w:r>
        <w:rPr>
          <w:b w:val="0"/>
          <w:i w:val="0"/>
        </w:rP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pPr>
        <w:keepNext/>
        <w:spacing w:before="160"/>
      </w:pPr>
      <w:r>
        <w:rPr>
          <w:b/>
          <w:i w:val="0"/>
          <w:sz w:val="23"/>
        </w:rPr>
        <w:t>Sanger reanalysis recovers published comparisons and identifies discrepancies</w:t>
      </w:r>
    </w:p>
    <w:p>
      <w:r>
        <w:rPr>
          <w:b w:val="0"/>
          <w:i w:val="0"/>
        </w:rPr>
        <w:t>We next re-analysed published Sanger data. A J</w:t>
      </w:r>
      <w:r>
        <w:rPr>
          <w:i w:val="0"/>
          <w:vertAlign w:val="subscript"/>
        </w:rPr>
        <w:t>H</w:t>
      </w:r>
      <w:r>
        <w:rPr>
          <w:b w:val="0"/>
          <w:i w:val="0"/>
        </w:rPr>
        <w:t xml:space="preserve">4 study had compared four Wt and four </w:t>
      </w:r>
      <w:r>
        <w:rPr>
          <w:i/>
        </w:rPr>
        <w:t>Maea</w:t>
      </w:r>
      <w:r>
        <w:rPr>
          <w:i w:val="0"/>
          <w:vertAlign w:val="superscript"/>
        </w:rPr>
        <w:t>fl/fl</w:t>
      </w:r>
      <w:r>
        <w:rPr>
          <w:i/>
        </w:rPr>
        <w:t>Mb1</w:t>
      </w:r>
      <w:r>
        <w:rPr>
          <w:i w:val="0"/>
          <w:vertAlign w:val="superscript"/>
        </w:rPr>
        <w:t>cre</w:t>
      </w:r>
      <w:r>
        <w:rPr>
          <w:b w:val="0"/>
          <w:i w:val="0"/>
        </w:rPr>
        <w:t xml:space="preserve"> mice with </w:t>
      </w:r>
      <w:r>
        <w:rPr>
          <w:i/>
        </w:rPr>
        <w:t>Aicda</w:t>
      </w:r>
      <w:r>
        <w:rPr>
          <w:i w:val="0"/>
          <w:vertAlign w:val="superscript"/>
        </w:rPr>
        <w:t>−/−</w:t>
      </w:r>
      <w:r>
        <w:rPr>
          <w:b w:val="0"/>
          <w:i w:val="0"/>
        </w:rPr>
        <w:t xml:space="preserve"> controls using SHMTool</w:t>
      </w:r>
      <w:hyperlink w:anchor="ref_21" w:history="1">
        <w:r>
          <w:rPr>
            <w:i w:val="0"/>
            <w:color w:val="1F5FA8"/>
            <w:vertAlign w:val="superscript"/>
          </w:rPr>
          <w:t>21</w:t>
        </w:r>
      </w:hyperlink>
      <w:r>
        <w:rPr>
          <w:i w:val="0"/>
          <w:vertAlign w:val="superscript"/>
        </w:rPr>
        <w:t>,</w:t>
      </w:r>
      <w:hyperlink w:anchor="ref_33" w:history="1">
        <w:r>
          <w:rPr>
            <w:i w:val="0"/>
            <w:color w:val="1F5FA8"/>
            <w:vertAlign w:val="superscript"/>
          </w:rPr>
          <w:t>33</w:t>
        </w:r>
      </w:hyperlink>
      <w:r>
        <w:rPr>
          <w:b w:val="0"/>
          <w:i w:val="0"/>
        </w:rPr>
        <w:t>. From its chromatograms, SHMtrace recovered a 4.6-fold frequency reduction, against 4.4-fold in the publication (one-tailed p = 2.3 × 10</w:t>
      </w:r>
      <w:r>
        <w:rPr>
          <w:i w:val="0"/>
          <w:vertAlign w:val="superscript"/>
        </w:rPr>
        <w:t>−4</w:t>
      </w:r>
      <w:r>
        <w:rPr>
          <w:b w:val="0"/>
          <w:i w:val="0"/>
        </w:rPr>
        <w:t xml:space="preserve"> and 0.0143; </w:t>
      </w:r>
      <w:hyperlink w:anchor="fig_S14" w:history="1">
        <w:r>
          <w:rPr>
            <w:b w:val="0"/>
            <w:i w:val="0"/>
            <w:color w:val="1F5FA8"/>
          </w:rPr>
          <w:t>Figure S14</w:t>
        </w:r>
      </w:hyperlink>
      <w:r>
        <w:rPr>
          <w:b w:val="0"/>
          <w:i w:val="0"/>
        </w:rPr>
        <w:t xml:space="preserve">). Spectra correlated at r = 0.99, and denominator-harmonized frequencies averaged 1.0-fold the published values. Shared trace assignments and identical mutated-clone pairs were retained as filed and flagged; the detailed discrepancies are in </w:t>
      </w:r>
      <w:hyperlink w:anchor="tab_S4" w:history="1">
        <w:r>
          <w:rPr>
            <w:b w:val="0"/>
            <w:i w:val="0"/>
            <w:color w:val="1F5FA8"/>
          </w:rPr>
          <w:t>Table S4</w:t>
        </w:r>
      </w:hyperlink>
      <w:r>
        <w:rPr>
          <w:b w:val="0"/>
          <w:i w:val="0"/>
        </w:rPr>
        <w:t xml:space="preserve"> and STAR Methods.</w:t>
      </w:r>
    </w:p>
    <w:p>
      <w:r>
        <w:rPr>
          <w:b w:val="0"/>
          <w:i w:val="0"/>
        </w:rPr>
        <w:t xml:space="preserve">A second study from the same laboratory agreed on frequency but less closely on the knockout spectrum. Reanalysis of its 402 </w:t>
      </w:r>
      <w:r>
        <w:rPr>
          <w:i/>
        </w:rPr>
        <w:t>Mkln1</w:t>
      </w:r>
      <w:r>
        <w:rPr>
          <w:b w:val="0"/>
          <w:i w:val="0"/>
        </w:rPr>
        <w:t>-study chromatograms</w:t>
      </w:r>
      <w:hyperlink w:anchor="ref_34" w:history="1">
        <w:r>
          <w:rPr>
            <w:i w:val="0"/>
            <w:color w:val="1F5FA8"/>
            <w:vertAlign w:val="superscript"/>
          </w:rPr>
          <w:t>34</w:t>
        </w:r>
      </w:hyperlink>
      <w:r>
        <w:rPr>
          <w:b w:val="0"/>
          <w:i w:val="0"/>
        </w:rPr>
        <w:t xml:space="preserve"> found an 8.0-fold frequency reduction versus the published 7.8-fold (p = 0.0038 and 0.014), and G:C transversions increased from 15% to 29%, against 16% to 27% in the published tables (p = 0.0078 and 0.0040). Spectrum correlations were r = 0.97 for Wt and 0.62 for knockout (</w:t>
      </w:r>
      <w:hyperlink w:anchor="fig_S15" w:history="1">
        <w:r>
          <w:rPr>
            <w:b w:val="0"/>
            <w:i w:val="0"/>
            <w:color w:val="1F5FA8"/>
          </w:rPr>
          <w:t>Figure S15</w:t>
        </w:r>
      </w:hyperlink>
      <w:r>
        <w:rPr>
          <w:b w:val="0"/>
          <w:i w:val="0"/>
        </w:rPr>
        <w:t xml:space="preserve">; </w:t>
      </w:r>
      <w:hyperlink w:anchor="tab_S4" w:history="1">
        <w:r>
          <w:rPr>
            <w:b w:val="0"/>
            <w:i w:val="0"/>
            <w:color w:val="1F5FA8"/>
          </w:rPr>
          <w:t>Table S4</w:t>
        </w:r>
      </w:hyperlink>
      <w:r>
        <w:rPr>
          <w:b w:val="0"/>
          <w:i w:val="0"/>
        </w:rPr>
        <w:t>).</w:t>
      </w:r>
    </w:p>
    <w:p>
      <w:r>
        <w:rPr>
          <w:b w:val="0"/>
          <w:i w:val="0"/>
        </w:rPr>
        <w:t>Because both of those studies come from the laboratory that produced our libraries, we also re-analysed a Sanger study from an unrelated laboratory at a different locus. Thientosapol et al. hypermutated a SW</w:t>
      </w:r>
      <w:r>
        <w:rPr>
          <w:i w:val="0"/>
          <w:vertAlign w:val="subscript"/>
        </w:rPr>
        <w:t>HEL</w:t>
      </w:r>
      <w:r>
        <w:rPr>
          <w:b w:val="0"/>
          <w:i w:val="0"/>
        </w:rPr>
        <w:t xml:space="preserve"> V</w:t>
      </w:r>
      <w:r>
        <w:rPr>
          <w:i w:val="0"/>
          <w:vertAlign w:val="subscript"/>
        </w:rPr>
        <w:t>H</w:t>
      </w:r>
      <w:r>
        <w:rPr>
          <w:b w:val="0"/>
          <w:i w:val="0"/>
        </w:rPr>
        <w:t>10 knock-in V region in germinal-centre B cells and deposited 1,795 sequences across five arms</w:t>
      </w:r>
      <w:hyperlink w:anchor="ref_35" w:history="1">
        <w:r>
          <w:rPr>
            <w:i w:val="0"/>
            <w:color w:val="1F5FA8"/>
            <w:vertAlign w:val="superscript"/>
          </w:rPr>
          <w:t>35</w:t>
        </w:r>
      </w:hyperlink>
      <w:r>
        <w:rPr>
          <w:b w:val="0"/>
          <w:i w:val="0"/>
        </w:rPr>
        <w:t xml:space="preserve"> (</w:t>
      </w:r>
      <w:hyperlink w:anchor="fig_S16" w:history="1">
        <w:r>
          <w:rPr>
            <w:b w:val="0"/>
            <w:i w:val="0"/>
            <w:color w:val="1F5FA8"/>
          </w:rPr>
          <w:t>Figure S16</w:t>
        </w:r>
      </w:hyperlink>
      <w:r>
        <w:rPr>
          <w:b w:val="0"/>
          <w:i w:val="0"/>
        </w:rPr>
        <w:t xml:space="preserve">). From these records alone, SHMtrace counted 2,804 of the 2,809 mutations the study tabulates (r &gt; 0.9999 across 60 spectrum cells), and mutations per sequence agreed to two decimal places in every arm. The four substitution classes the study tested moved as reported, and total mutation decreased in both analyses, although significance differed under the different tests used. Reassuringly, the </w:t>
      </w:r>
      <w:r>
        <w:rPr>
          <w:i/>
        </w:rPr>
        <w:t>Msh2</w:t>
      </w:r>
      <w:r>
        <w:rPr>
          <w:i w:val="0"/>
          <w:vertAlign w:val="superscript"/>
        </w:rPr>
        <w:t>−/−</w:t>
      </w:r>
      <w:r>
        <w:rPr>
          <w:b w:val="0"/>
          <w:i w:val="0"/>
        </w:rPr>
        <w:t xml:space="preserve"> arm, which SHMtrace was not told was a repair mutant, showed the expected collapse of A:T mutations. Because this study deposits sequences rather than chromatograms, it tests counting, spectra and group statistics but not trace reading.</w:t>
      </w:r>
    </w:p>
    <w:p>
      <w:pPr>
        <w:keepNext/>
        <w:spacing w:before="160"/>
      </w:pPr>
      <w:r>
        <w:rPr>
          <w:b/>
          <w:i w:val="0"/>
          <w:sz w:val="23"/>
        </w:rPr>
        <w:t>Long reads retain whole-amplicon profiles and within-lineage linkage</w:t>
      </w:r>
    </w:p>
    <w:p>
      <w:r>
        <w:rPr>
          <w:b w:val="0"/>
          <w:i w:val="0"/>
        </w:rPr>
        <w:t>Nanopore sequencing extended SHMtrace analysis of the J</w:t>
      </w:r>
      <w:r>
        <w:rPr>
          <w:i w:val="0"/>
          <w:vertAlign w:val="subscript"/>
        </w:rPr>
        <w:t>H</w:t>
      </w:r>
      <w:r>
        <w:rPr>
          <w:b w:val="0"/>
          <w:i w:val="0"/>
        </w:rPr>
        <w:t>4 intron from the shared 529-bp Sanger window to a 1,141-bp interval spanning positions 90–1,230 (</w:t>
      </w:r>
      <w:hyperlink w:anchor="fig_6" w:history="1">
        <w:r>
          <w:rPr>
            <w:b w:val="0"/>
            <w:i w:val="0"/>
            <w:color w:val="1F5FA8"/>
          </w:rPr>
          <w:t>Figure 6A</w:t>
        </w:r>
      </w:hyperlink>
      <w:r>
        <w:rPr>
          <w:b w:val="0"/>
          <w:i w:val="0"/>
        </w:rP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i w:val="0"/>
            <w:color w:val="1F5FA8"/>
            <w:vertAlign w:val="superscript"/>
          </w:rPr>
          <w:t>9</w:t>
        </w:r>
      </w:hyperlink>
      <w:r>
        <w:rPr>
          <w:b w:val="0"/>
          <w:i w:val="0"/>
        </w:rPr>
        <w:t xml:space="preserve">. Substitution spectra across the full interval closely matched those within the Sanger window (Pearson r = 0.989; </w:t>
      </w:r>
      <w:hyperlink w:anchor="fig_S17" w:history="1">
        <w:r>
          <w:rPr>
            <w:b w:val="0"/>
            <w:i w:val="0"/>
            <w:color w:val="1F5FA8"/>
          </w:rPr>
          <w:t>Figure S17</w:t>
        </w:r>
      </w:hyperlink>
      <w:r>
        <w:rPr>
          <w:b w:val="0"/>
          <w:i w:val="0"/>
        </w:rPr>
        <w:t>).</w:t>
      </w:r>
    </w:p>
    <w:p>
      <w:r>
        <w:rPr>
          <w:b w:val="0"/>
          <w:i w:val="0"/>
        </w:rP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b w:val="0"/>
            <w:i w:val="0"/>
            <w:color w:val="1F5FA8"/>
          </w:rPr>
          <w:t>Figure 6B</w:t>
        </w:r>
      </w:hyperlink>
      <w:r>
        <w:rPr>
          <w:b w:val="0"/>
          <w:i w:val="0"/>
        </w:rPr>
        <w:t xml:space="preserve">). In contrast, </w:t>
      </w:r>
      <w:r>
        <w:rPr>
          <w:i/>
        </w:rPr>
        <w:t>Aicda</w:t>
      </w:r>
      <w:r>
        <w:rPr>
          <w:i w:val="0"/>
          <w:vertAlign w:val="superscript"/>
        </w:rPr>
        <w:t>−/−</w:t>
      </w:r>
      <w:r>
        <w:rPr>
          <w:b w:val="0"/>
          <w:i w:val="0"/>
        </w:rPr>
        <w:t xml:space="preserve"> mismatch positions showed no enrichment (index = 1.00; p = 0.50). Because S5F mutability is not used in the variant-calling test, this analysis provides a separate check that the detected mutations follow an SHM-associated targeting pattern.</w:t>
      </w:r>
    </w:p>
    <w:p>
      <w:r>
        <w:rPr>
          <w:b w:val="0"/>
          <w:i w:val="0"/>
        </w:rPr>
        <w:t>Long reads also keep each molecule's junction, which groups reads into B-cell lineages (</w:t>
      </w:r>
      <w:hyperlink w:anchor="fig_6" w:history="1">
        <w:r>
          <w:rPr>
            <w:b w:val="0"/>
            <w:i w:val="0"/>
            <w:color w:val="1F5FA8"/>
          </w:rPr>
          <w:t>Figure 6C</w:t>
        </w:r>
      </w:hyperlink>
      <w:r>
        <w:rPr>
          <w:b w:val="0"/>
          <w:i w:val="0"/>
        </w:rPr>
        <w:t>). In Wt2, one largely unmutated lineage accounted for 81% of junction-assigned reads, so the read-weighted frequency of 2.8 per 10</w:t>
      </w:r>
      <w:r>
        <w:rPr>
          <w:i w:val="0"/>
          <w:vertAlign w:val="superscript"/>
        </w:rPr>
        <w:t>3</w:t>
      </w:r>
      <w:r>
        <w:rPr>
          <w:b w:val="0"/>
          <w:i w:val="0"/>
        </w:rPr>
        <w:t xml:space="preserve"> bp rose to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b w:val="0"/>
            <w:i w:val="0"/>
            <w:color w:val="1F5FA8"/>
          </w:rPr>
          <w:t>Figure 6D</w:t>
        </w:r>
      </w:hyperlink>
      <w:r>
        <w:rPr>
          <w:b w:val="0"/>
          <w:i w:val="0"/>
        </w:rPr>
        <w:t>). Without UMIs, however, PCR recombination and residual errors remain possible, so these are read-level reconstructions rather than proven cellular lineages.</w:t>
      </w:r>
    </w:p>
    <w:p>
      <w:pPr>
        <w:keepNext/>
        <w:spacing w:before="160"/>
      </w:pPr>
      <w:r>
        <w:rPr>
          <w:b/>
          <w:i w:val="0"/>
          <w:sz w:val="23"/>
        </w:rPr>
        <w:t>Public datasets test transfer across platforms and experimental designs</w:t>
      </w:r>
    </w:p>
    <w:p>
      <w:r>
        <w:rPr>
          <w:b w:val="0"/>
          <w:i w:val="0"/>
        </w:rPr>
        <w:t>To test transfer beyond nanopore, we analysed three public Illumina studies of different biological contexts (</w:t>
      </w:r>
      <w:hyperlink w:anchor="fig_7" w:history="1">
        <w:r>
          <w:rPr>
            <w:b w:val="0"/>
            <w:i w:val="0"/>
            <w:color w:val="1F5FA8"/>
          </w:rPr>
          <w:t>Figure 7</w:t>
        </w:r>
      </w:hyperlink>
      <w:r>
        <w:rPr>
          <w:b w:val="0"/>
          <w:i w:val="0"/>
        </w:rPr>
        <w:t>). At J</w:t>
      </w:r>
      <w:r>
        <w:rPr>
          <w:i w:val="0"/>
          <w:vertAlign w:val="subscript"/>
        </w:rPr>
        <w:t>H</w:t>
      </w:r>
      <w:r>
        <w:rPr>
          <w:b w:val="0"/>
          <w:i w:val="0"/>
        </w:rPr>
        <w:t xml:space="preserve">4 positions 53–122, Wt mice showed 56-fold greater mutation frequency than AID-null mice (log-rate Welch p = 0.005; n = 7 and 4), whereas </w:t>
      </w:r>
      <w:r>
        <w:rPr>
          <w:i/>
        </w:rPr>
        <w:t>Ldha</w:t>
      </w:r>
      <w:r>
        <w:rPr>
          <w:b w:val="0"/>
          <w:i w:val="0"/>
        </w:rPr>
        <w:t xml:space="preserve"> deletion showed no detectable difference from Wt (Mann–Whitney p = 0.75), consistent with the original study</w:t>
      </w:r>
      <w:hyperlink w:anchor="ref_36" w:history="1">
        <w:r>
          <w:rPr>
            <w:i w:val="0"/>
            <w:color w:val="1F5FA8"/>
            <w:vertAlign w:val="superscript"/>
          </w:rPr>
          <w:t>36</w:t>
        </w:r>
      </w:hyperlink>
      <w:r>
        <w:rPr>
          <w:b w:val="0"/>
          <w:i w:val="0"/>
        </w:rPr>
        <w:t xml:space="preserve"> (</w:t>
      </w:r>
      <w:hyperlink w:anchor="fig_7" w:history="1">
        <w:r>
          <w:rPr>
            <w:b w:val="0"/>
            <w:i w:val="0"/>
            <w:color w:val="1F5FA8"/>
          </w:rPr>
          <w:t>Figure 7A</w:t>
        </w:r>
      </w:hyperlink>
      <w:r>
        <w:rPr>
          <w:b w:val="0"/>
          <w:i w:val="0"/>
        </w:rPr>
        <w:t>).</w:t>
      </w:r>
    </w:p>
    <w:p>
      <w:r>
        <w:rPr>
          <w:b w:val="0"/>
          <w:i w:val="0"/>
        </w:rPr>
        <w:t xml:space="preserve">In </w:t>
      </w:r>
      <w:r>
        <w:rPr>
          <w:i/>
        </w:rPr>
        <w:t>Aicda</w:t>
      </w:r>
      <w:r>
        <w:rPr>
          <w:i w:val="0"/>
          <w:vertAlign w:val="superscript"/>
        </w:rPr>
        <w:t>−/−</w:t>
      </w:r>
      <w:r>
        <w:rPr>
          <w:i/>
        </w:rPr>
        <w:t>Ung</w:t>
      </w:r>
      <w:r>
        <w:rPr>
          <w:i w:val="0"/>
          <w:vertAlign w:val="superscript"/>
        </w:rPr>
        <w:t>−/−</w:t>
      </w:r>
      <w:r>
        <w:rPr>
          <w:i/>
        </w:rPr>
        <w:t>Msh2</w:t>
      </w:r>
      <w:r>
        <w:rPr>
          <w:i w:val="0"/>
          <w:vertAlign w:val="superscript"/>
        </w:rPr>
        <w:t>−/−</w:t>
      </w:r>
      <w:r>
        <w:rPr>
          <w:b w:val="0"/>
          <w:i w:val="0"/>
        </w:rPr>
        <w:t xml:space="preserve"> CH12F3 cells, ectopic AID increased frequency 40-fold over empty vector (p = 0.00781; n = 4 each), with one control call in 20,000 reads</w:t>
      </w:r>
      <w:hyperlink w:anchor="ref_37" w:history="1">
        <w:r>
          <w:rPr>
            <w:i w:val="0"/>
            <w:color w:val="1F5FA8"/>
            <w:vertAlign w:val="superscript"/>
          </w:rPr>
          <w:t>37</w:t>
        </w:r>
      </w:hyperlink>
      <w:r>
        <w:rPr>
          <w:b w:val="0"/>
          <w:i w:val="0"/>
        </w:rPr>
        <w:t>. All AID calls were C→T/G→A, consistent with loss of uracil excision and mismatch repair; R50E yielded none (</w:t>
      </w:r>
      <w:hyperlink w:anchor="fig_7" w:history="1">
        <w:r>
          <w:rPr>
            <w:b w:val="0"/>
            <w:i w:val="0"/>
            <w:color w:val="1F5FA8"/>
          </w:rPr>
          <w:t>Figure 7B</w:t>
        </w:r>
      </w:hyperlink>
      <w:r>
        <w:rPr>
          <w:b w:val="0"/>
          <w:i w:val="0"/>
        </w:rPr>
        <w:t>). R174E/R178E appeared more active but gave only 17% transitions, a 56% cluster within positions 164–172 and targeting index 0.73 versus 2.46 for AID. These features suggest a library-specific artifact absent from controls (</w:t>
      </w:r>
      <w:hyperlink w:anchor="fig_7" w:history="1">
        <w:r>
          <w:rPr>
            <w:b w:val="0"/>
            <w:i w:val="0"/>
            <w:color w:val="1F5FA8"/>
          </w:rPr>
          <w:t>Figure 7C</w:t>
        </w:r>
      </w:hyperlink>
      <w:r>
        <w:rPr>
          <w:b w:val="0"/>
          <w:i w:val="0"/>
        </w:rPr>
        <w:t>). Establishing its source would require additional sequencing provenance or independent material.</w:t>
      </w:r>
    </w:p>
    <w:p>
      <w:r>
        <w:rPr>
          <w:b w:val="0"/>
          <w:i w:val="0"/>
        </w:rPr>
        <w:t>HMCES-deficient Ramos clones</w:t>
      </w:r>
      <w:hyperlink w:anchor="ref_38" w:history="1">
        <w:r>
          <w:rPr>
            <w:i w:val="0"/>
            <w:color w:val="1F5FA8"/>
            <w:vertAlign w:val="superscript"/>
          </w:rPr>
          <w:t>38</w:t>
        </w:r>
      </w:hyperlink>
      <w:r>
        <w:rPr>
          <w:b w:val="0"/>
          <w:i w:val="0"/>
        </w:rPr>
        <w:t xml:space="preserve"> carried 3.8-fold more deletions and 2.5-fold more insertions than Wt clones (deletions, p = 1.0 × 10</w:t>
      </w:r>
      <w:r>
        <w:rPr>
          <w:i w:val="0"/>
          <w:vertAlign w:val="superscript"/>
        </w:rPr>
        <w:t>−4</w:t>
      </w:r>
      <w:r>
        <w:rPr>
          <w:b w:val="0"/>
          <w:i w:val="0"/>
        </w:rPr>
        <w:t xml:space="preserve">; n = 6 per group; </w:t>
      </w:r>
      <w:hyperlink w:anchor="fig_7" w:history="1">
        <w:r>
          <w:rPr>
            <w:b w:val="0"/>
            <w:i w:val="0"/>
            <w:color w:val="1F5FA8"/>
          </w:rPr>
          <w:t>Figure 7D</w:t>
        </w:r>
      </w:hyperlink>
      <w:r>
        <w:rPr>
          <w:b w:val="0"/>
          <w:i w:val="0"/>
        </w:rPr>
        <w:t>). Substitution calling in this deposit, however, depended strongly on one noisy AID-null library. After inspecting this dataset, we developed a rule that excluded it from threshold selection while retaining it for model fitting and reporting the exclusion. With this adjustment, Wt and HMCES-deficient clones yielded 52–99 substitution calls each, whereas treating the noisy library as a sample instead yielded 277–413. Control assignment thus materially affects the inferred substitution burden here (STAR Methods), and the same rule also acted in the mOrange analysis.</w:t>
      </w:r>
    </w:p>
    <w:p>
      <w:r>
        <w:rPr>
          <w:b w:val="0"/>
          <w:i w:val="0"/>
        </w:rPr>
        <w:t>A published mOrange reporter study compared active and catalytically inactive AID in cells carrying an empty vector, Ugi or UNG</w:t>
      </w:r>
      <w:hyperlink w:anchor="ref_39" w:history="1">
        <w:r>
          <w:rPr>
            <w:i w:val="0"/>
            <w:color w:val="1F5FA8"/>
            <w:vertAlign w:val="superscript"/>
          </w:rPr>
          <w:t>39</w:t>
        </w:r>
      </w:hyperlink>
      <w:r>
        <w:rPr>
          <w:b w:val="0"/>
          <w:i w:val="0"/>
        </w:rPr>
        <w:t>. Using the inactive-AID libraries to calibrate calling, SHMtrace retained 115 substitutions, all at G:C and 75–100% at WRC/GYW hotspots (</w:t>
      </w:r>
      <w:hyperlink w:anchor="fig_7" w:history="1">
        <w:r>
          <w:rPr>
            <w:b w:val="0"/>
            <w:i w:val="0"/>
            <w:color w:val="1F5FA8"/>
          </w:rPr>
          <w:t>Figure 7E</w:t>
        </w:r>
      </w:hyperlink>
      <w:r>
        <w:rPr>
          <w:b w:val="0"/>
          <w:i w:val="0"/>
        </w:rPr>
        <w:t>). Separation between active and inactive AID was 20-fold with empty vector, 1,002-fold with Ugi and 103-fold with UNG, with Ugi zeros assigned one event. Among retained substitutions, the transition share fell from 95% with Ugi to 4% with UNG, whereas uncorrected inactive-AID backgrounds contained 43–66% transitions. The paired mean difference was 92 percentage points (95% CI 74–110; paired t, p = 0.0021), although few calls per library limit precision.</w:t>
      </w:r>
    </w:p>
    <w:p>
      <w:r>
        <w:rPr>
          <w:b w:val="0"/>
          <w:i w:val="0"/>
        </w:rPr>
        <w:t>Two engineered-diversification datasets extended the evaluation to mutations measured relative to experimental starting constructs (</w:t>
      </w:r>
      <w:hyperlink w:anchor="fig_S18" w:history="1">
        <w:r>
          <w:rPr>
            <w:b w:val="0"/>
            <w:i w:val="0"/>
            <w:color w:val="1F5FA8"/>
          </w:rPr>
          <w:t>Figure S18</w:t>
        </w:r>
      </w:hyperlink>
      <w:r>
        <w:rPr>
          <w:b w:val="0"/>
          <w:i w:val="0"/>
        </w:rPr>
        <w:t>). In a study using a common GFP substrate</w:t>
      </w:r>
      <w:hyperlink w:anchor="ref_40" w:history="1">
        <w:r>
          <w:rPr>
            <w:i w:val="0"/>
            <w:color w:val="1F5FA8"/>
            <w:vertAlign w:val="superscript"/>
          </w:rPr>
          <w:t>40</w:t>
        </w:r>
      </w:hyperlink>
      <w:r>
        <w:rPr>
          <w:b w:val="0"/>
          <w:i w:val="0"/>
        </w:rPr>
        <w:t>, no-editor libraries yielded at most one call in 20,000 reads. AID substitutions were more frequently located at WRC/GYW hotspots than APOBEC3A substitutions, both in Wt cells (56% versus 14%; p = 0.0040) and in UNG/MSH2-deficient cells (37% versus 20%; p = 9.0 × 10</w:t>
      </w:r>
      <w:r>
        <w:rPr>
          <w:i w:val="0"/>
          <w:vertAlign w:val="superscript"/>
        </w:rPr>
        <w:t>−4</w:t>
      </w:r>
      <w:r>
        <w:rPr>
          <w:b w:val="0"/>
          <w:i w:val="0"/>
        </w:rPr>
        <w:t>). In the repair-deficient background, however, their transition shares were similar (78% versus 76%; p = 0.74), showing that transition enrichment alone could not distinguish the two enzymes.</w:t>
      </w:r>
    </w:p>
    <w:p>
      <w:r>
        <w:rPr>
          <w:b w:val="0"/>
          <w:i w:val="0"/>
        </w:rPr>
        <w:t>The second engineered dataset, a CRISPR-X antibody-evolution study, diversified an antibody V</w:t>
      </w:r>
      <w:r>
        <w:rPr>
          <w:i w:val="0"/>
          <w:vertAlign w:val="subscript"/>
        </w:rPr>
        <w:t>H</w:t>
      </w:r>
      <w:r>
        <w:rPr>
          <w:b w:val="0"/>
          <w:i w:val="0"/>
        </w:rPr>
        <w:t xml:space="preserve"> and published the mutations it found in each selected cluster</w:t>
      </w:r>
      <w:hyperlink w:anchor="ref_41" w:history="1">
        <w:r>
          <w:rPr>
            <w:i w:val="0"/>
            <w:color w:val="1F5FA8"/>
            <w:vertAlign w:val="superscript"/>
          </w:rPr>
          <w:t>41</w:t>
        </w:r>
      </w:hyperlink>
      <w:r>
        <w:rPr>
          <w:b w:val="0"/>
          <w:i w:val="0"/>
        </w:rPr>
        <w:t>. Comparing the two lists position by position, SHMtrace recovered 150 of the 150 published mutations and called none the authors did not, across all 42 cluster entries (</w:t>
      </w:r>
      <w:hyperlink w:anchor="fig_S18" w:history="1">
        <w:r>
          <w:rPr>
            <w:b w:val="0"/>
            <w:i w:val="0"/>
            <w:color w:val="1F5FA8"/>
          </w:rPr>
          <w:t>Figure S18B</w:t>
        </w:r>
      </w:hyperlink>
      <w:r>
        <w:rPr>
          <w:b w:val="0"/>
          <w:i w:val="0"/>
        </w:rPr>
        <w:t>). Because the comparator is an independently curated list rather than another run of the same software, this is the sharpest available test of variant identity on this route.</w:t>
      </w:r>
    </w:p>
    <w:p>
      <w:r>
        <w:rPr>
          <w:b w:val="0"/>
          <w:i w:val="0"/>
        </w:rPr>
        <w:t>Two further datasets tested transfer to another laboratory's switch-region libraries and to a fourth platform, and showed where a deposit limits what can be asked. Sμ libraries under PI3Kδ inhibition</w:t>
      </w:r>
      <w:hyperlink w:anchor="ref_42" w:history="1">
        <w:r>
          <w:rPr>
            <w:i w:val="0"/>
            <w:color w:val="1F5FA8"/>
            <w:vertAlign w:val="superscript"/>
          </w:rPr>
          <w:t>42</w:t>
        </w:r>
      </w:hyperlink>
      <w:r>
        <w:rPr>
          <w:b w:val="0"/>
          <w:i w:val="0"/>
        </w:rPr>
        <w:t xml:space="preserve"> confound genotype with library layout: six of nine wild-type libraries are single-end whereas every </w:t>
      </w:r>
      <w:r>
        <w:rPr>
          <w:i/>
        </w:rPr>
        <w:t>Aicda</w:t>
      </w:r>
      <w:r>
        <w:rPr>
          <w:i w:val="0"/>
          <w:vertAlign w:val="superscript"/>
        </w:rPr>
        <w:t>−/−</w:t>
      </w:r>
      <w:r>
        <w:rPr>
          <w:b w:val="0"/>
          <w:i w:val="0"/>
        </w:rPr>
        <w:t xml:space="preserve"> library is paired, and the mates do not overlap, so only the twelve paired libraries reach the switch repeats where AID acts (</w:t>
      </w:r>
      <w:hyperlink w:anchor="fig_S19" w:history="1">
        <w:r>
          <w:rPr>
            <w:b w:val="0"/>
            <w:i w:val="0"/>
            <w:color w:val="1F5FA8"/>
          </w:rPr>
          <w:t>Figure S19</w:t>
        </w:r>
      </w:hyperlink>
      <w:r>
        <w:rPr>
          <w:b w:val="0"/>
          <w:i w:val="0"/>
        </w:rPr>
        <w:t xml:space="preserve">). Analysed over those repeats, the nine </w:t>
      </w:r>
      <w:r>
        <w:rPr>
          <w:i/>
        </w:rPr>
        <w:t>Aicda</w:t>
      </w:r>
      <w:r>
        <w:rPr>
          <w:i w:val="0"/>
          <w:vertAlign w:val="superscript"/>
        </w:rPr>
        <w:t>−/−</w:t>
      </w:r>
      <w:r>
        <w:rPr>
          <w:b w:val="0"/>
          <w:i w:val="0"/>
        </w:rP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r>
        <w:rPr>
          <w:b w:val="0"/>
          <w:i w:val="0"/>
        </w:rPr>
        <w:t>Finally, PacBio Sμ–Sγ1 reads</w:t>
      </w:r>
      <w:hyperlink w:anchor="ref_43" w:history="1">
        <w:r>
          <w:rPr>
            <w:i w:val="0"/>
            <w:color w:val="1F5FA8"/>
            <w:vertAlign w:val="superscript"/>
          </w:rPr>
          <w:t>43</w:t>
        </w:r>
      </w:hyperlink>
      <w:r>
        <w:rPr>
          <w:b w:val="0"/>
          <w:i w:val="0"/>
        </w:rPr>
        <w:t xml:space="preserve"> carry the donor, the join and the acceptor on one molecule, so we applied the junction module to a class-switch phenotype it was not tuned for (</w:t>
      </w:r>
      <w:hyperlink w:anchor="fig_S20" w:history="1">
        <w:r>
          <w:rPr>
            <w:b w:val="0"/>
            <w:i w:val="0"/>
            <w:color w:val="1F5FA8"/>
          </w:rPr>
          <w:t>Figure S20</w:t>
        </w:r>
      </w:hyperlink>
      <w:r>
        <w:rPr>
          <w:b w:val="0"/>
          <w:i w:val="0"/>
        </w:rPr>
        <w:t xml:space="preserve">). Mean microhomology was 1.01 nt in wild type and unchanged in </w:t>
      </w:r>
      <w:r>
        <w:rPr>
          <w:i/>
        </w:rPr>
        <w:t>Shld1</w:t>
      </w:r>
      <w:r>
        <w:rPr>
          <w:i w:val="0"/>
          <w:vertAlign w:val="superscript"/>
        </w:rPr>
        <w:t>−/−</w:t>
      </w:r>
      <w:r>
        <w:rPr>
          <w:b w:val="0"/>
          <w:i w:val="0"/>
        </w:rPr>
        <w:t xml:space="preserve"> (1.02 nt), but rose without XLF (1.69 nt) and in double mutants (1.59 nt), which also showed more ≥4-nt microhomology and fewer blunt junctions; </w:t>
      </w:r>
      <w:r>
        <w:rPr>
          <w:i/>
        </w:rPr>
        <w:t>Shld1</w:t>
      </w:r>
      <w:r>
        <w:rPr>
          <w:i w:val="0"/>
          <w:vertAlign w:val="superscript"/>
        </w:rPr>
        <w:t>−/−</w:t>
      </w:r>
      <w:r>
        <w:rPr>
          <w:b w:val="0"/>
          <w:i w:val="0"/>
        </w:rPr>
        <w:t xml:space="preserve"> junctions instead carried more insertions. This is the shift toward microhomology-mediated end joining expected when classical non-homologous end joining is impaired.</w:t>
      </w:r>
    </w:p>
    <w:p>
      <w:pPr>
        <w:keepNext/>
        <w:spacing w:before="240"/>
      </w:pPr>
      <w:r>
        <w:rPr>
          <w:b/>
          <w:i w:val="0"/>
          <w:sz w:val="26"/>
        </w:rPr>
        <w:t>Discussion</w:t>
      </w:r>
    </w:p>
    <w:p>
      <w:r>
        <w:rPr>
          <w:b w:val="0"/>
          <w:i w:val="0"/>
        </w:rPr>
        <w:t>Measuring somatic hypermutation has long meant choosing between reading molecules accurately and reading enough of them. Our results suggest that this choice is no longer necessary, provided the background is measured rather than assumed. SHMtrace takes whatever a platform delivers, reads or chromatograms, and replaces the two assumptions that make low-frequency calling from single reads unreliable for SHM. First, rather than relying on quality scores alone, it estimates the background in the AID-null libraries that SHM studies already include, at the level of substitution type, strand and base quality, and checks that calibration by holding out each control in turn. Second, instead of treating reads as replicates, it tests independent biological samples. Both replacements held: 81% of planted J</w:t>
      </w:r>
      <w:r>
        <w:rPr>
          <w:i w:val="0"/>
          <w:vertAlign w:val="subscript"/>
        </w:rPr>
        <w:t>H</w:t>
      </w:r>
      <w:r>
        <w:rPr>
          <w:b w:val="0"/>
          <w:i w:val="0"/>
        </w:rPr>
        <w:t>4 mutations and 90% on N114 V</w:t>
      </w:r>
      <w:r>
        <w:rPr>
          <w:i w:val="0"/>
          <w:vertAlign w:val="subscript"/>
        </w:rPr>
        <w:t>H</w:t>
      </w:r>
      <w:r>
        <w:rPr>
          <w:b w:val="0"/>
          <w:i w:val="0"/>
        </w:rP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w:t>
      </w:r>
    </w:p>
    <w:p>
      <w:r>
        <w:rPr>
          <w:b w:val="0"/>
          <w:i w:val="0"/>
        </w:rPr>
        <w:t>The gap this fills is specific, and it sits between two mature bodies of software. Repertoire toolkits identify and summarise mutations well: IgBLAST assigns germlines</w:t>
      </w:r>
      <w:hyperlink w:anchor="ref_31" w:history="1">
        <w:r>
          <w:rPr>
            <w:i w:val="0"/>
            <w:color w:val="1F5FA8"/>
            <w:vertAlign w:val="superscript"/>
          </w:rPr>
          <w:t>31</w:t>
        </w:r>
      </w:hyperlink>
      <w:r>
        <w:rPr>
          <w:b w:val="0"/>
          <w:i w:val="0"/>
        </w:rPr>
        <w:t>, Change-O and SHazaM quantify load</w:t>
      </w:r>
      <w:hyperlink w:anchor="ref_22" w:history="1">
        <w:r>
          <w:rPr>
            <w:i w:val="0"/>
            <w:color w:val="1F5FA8"/>
            <w:vertAlign w:val="superscript"/>
          </w:rPr>
          <w:t>22</w:t>
        </w:r>
      </w:hyperlink>
      <w:r>
        <w:rPr>
          <w:b w:val="0"/>
          <w:i w:val="0"/>
        </w:rPr>
        <w:t>, SHMTool compares datasets</w:t>
      </w:r>
      <w:hyperlink w:anchor="ref_21" w:history="1">
        <w:r>
          <w:rPr>
            <w:i w:val="0"/>
            <w:color w:val="1F5FA8"/>
            <w:vertAlign w:val="superscript"/>
          </w:rPr>
          <w:t>21</w:t>
        </w:r>
      </w:hyperlink>
      <w:r>
        <w:rPr>
          <w:b w:val="0"/>
          <w:i w:val="0"/>
        </w:rPr>
        <w:t>, and S5F models targeting</w:t>
      </w:r>
      <w:hyperlink w:anchor="ref_23" w:history="1">
        <w:r>
          <w:rPr>
            <w:i w:val="0"/>
            <w:color w:val="1F5FA8"/>
            <w:vertAlign w:val="superscript"/>
          </w:rPr>
          <w:t>23</w:t>
        </w:r>
      </w:hyperlink>
      <w:r>
        <w:rPr>
          <w:b w:val="0"/>
          <w:i w:val="0"/>
        </w:rP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i w:val="0"/>
            <w:color w:val="1F5FA8"/>
            <w:vertAlign w:val="superscript"/>
          </w:rPr>
          <w:t>18</w:t>
        </w:r>
      </w:hyperlink>
      <w:r>
        <w:rPr>
          <w:b w:val="0"/>
          <w:i w:val="0"/>
        </w:rPr>
        <w:t>, while ClairS and DeepSomatic were developed for tumour–normal sequencing, with different training data and calling assumptions</w:t>
      </w:r>
      <w:hyperlink w:anchor="ref_24" w:history="1">
        <w:r>
          <w:rPr>
            <w:i w:val="0"/>
            <w:color w:val="1F5FA8"/>
            <w:vertAlign w:val="superscript"/>
          </w:rPr>
          <w:t>24</w:t>
        </w:r>
      </w:hyperlink>
      <w:r>
        <w:rPr>
          <w:i w:val="0"/>
          <w:vertAlign w:val="superscript"/>
        </w:rPr>
        <w:t>,</w:t>
      </w:r>
      <w:hyperlink w:anchor="ref_25" w:history="1">
        <w:r>
          <w:rPr>
            <w:i w:val="0"/>
            <w:color w:val="1F5FA8"/>
            <w:vertAlign w:val="superscript"/>
          </w:rPr>
          <w:t>25</w:t>
        </w:r>
      </w:hyperlink>
      <w:r>
        <w:rPr>
          <w:b w:val="0"/>
          <w:i w:val="0"/>
        </w:rPr>
        <w:t>. As configured here, neither class measures what a particular SHM library does wrong. SHMtrace closes that circuit by making the AID-null control, where available, the source of the error model, and by carrying the measurement through to the animal-level comparison that the biology requires</w:t>
      </w:r>
      <w:hyperlink w:anchor="ref_20" w:history="1">
        <w:r>
          <w:rPr>
            <w:i w:val="0"/>
            <w:color w:val="1F5FA8"/>
            <w:vertAlign w:val="superscript"/>
          </w:rPr>
          <w:t>20</w:t>
        </w:r>
      </w:hyperlink>
      <w:r>
        <w:rPr>
          <w:b w:val="0"/>
          <w:i w:val="0"/>
        </w:rPr>
        <w:t>. Its distinctive contribution is therefore to connect control-informed mutation detection with interpretable profiles and comparisons across biological replicates in one reproducible workflow.</w:t>
      </w:r>
    </w:p>
    <w:p>
      <w:r>
        <w:rPr>
          <w:b w:val="0"/>
          <w:i w:val="0"/>
        </w:rPr>
        <w:t>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rather, as configured here, it did not capture this assay's library-specific background as well as matched-control calibration did. The measurements suggest why. Above Q40, control error stopped decreasing and differed across the evaluated datasets (1–9 × 10</w:t>
      </w:r>
      <w:r>
        <w:rPr>
          <w:i w:val="0"/>
          <w:vertAlign w:val="superscript"/>
        </w:rPr>
        <w:t>−5</w:t>
      </w:r>
      <w:r>
        <w:rPr>
          <w:b w:val="0"/>
          <w:i w:val="0"/>
        </w:rPr>
        <w:t xml:space="preserve">; </w:t>
      </w:r>
      <w:hyperlink w:anchor="fig_S2" w:history="1">
        <w:r>
          <w:rPr>
            <w:b w:val="0"/>
            <w:i w:val="0"/>
            <w:color w:val="1F5FA8"/>
          </w:rPr>
          <w:t>Figure S2</w:t>
        </w:r>
      </w:hyperlink>
      <w:r>
        <w:rPr>
          <w:b w:val="0"/>
          <w:i w:val="0"/>
        </w:rPr>
        <w:t>), so the quality score runs out of information exactly where SHM calling needs it. ClairS and DeepSomatic, similarly, recovered clean variants at higher allele fractions but few real SHM calls, and chemistry and model mismatches further qualify the external-data comparisons. Geneious, in turn, provided greater single-read recall on J</w:t>
      </w:r>
      <w:r>
        <w:rPr>
          <w:i w:val="0"/>
          <w:vertAlign w:val="subscript"/>
        </w:rPr>
        <w:t>H</w:t>
      </w:r>
      <w:r>
        <w:rPr>
          <w:b w:val="0"/>
          <w:i w:val="0"/>
        </w:rPr>
        <w:t xml:space="preserve">4 and </w:t>
      </w:r>
      <w:r>
        <w:rPr>
          <w:i/>
        </w:rPr>
        <w:t>Pim1</w:t>
      </w:r>
      <w:r>
        <w:rPr>
          <w:b w:val="0"/>
          <w:i w:val="0"/>
        </w:rPr>
        <w:t xml:space="preserve"> but more false calls on each amplicon. These are choices a study can make deliberately: sensitive mode raises the empirical target to 0.20 and recovers 72% of single-read mutations on J</w:t>
      </w:r>
      <w:r>
        <w:rPr>
          <w:i w:val="0"/>
          <w:vertAlign w:val="subscript"/>
        </w:rPr>
        <w:t>H</w:t>
      </w:r>
      <w:r>
        <w:rPr>
          <w:b w:val="0"/>
          <w:i w:val="0"/>
        </w:rPr>
        <w:t>4 and 87% on N114 V</w:t>
      </w:r>
      <w:r>
        <w:rPr>
          <w:i w:val="0"/>
          <w:vertAlign w:val="subscript"/>
        </w:rPr>
        <w:t>H</w:t>
      </w:r>
      <w:r>
        <w:rPr>
          <w:b w:val="0"/>
          <w:i w:val="0"/>
        </w:rPr>
        <w:t xml:space="preserve"> at observed FDP 0.18 and 0.16, while events unresolved individually can still be estimated in aggregate.</w:t>
      </w:r>
    </w:p>
    <w:p>
      <w:r>
        <w:rPr>
          <w:b w:val="0"/>
          <w:i w:val="0"/>
        </w:rPr>
        <w:t xml:space="preserve">Because the background is measured rather than modelled, one framework serves all four platforms, each through the analysis its data support. A Sanger clone is one molecule read once, so there is no read support to weigh against a background; the workflow therefore counts quality-filtered substitutions directly and reports the control-derived background beside them. Nanopore and Illumina libraries, by contrast,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1" w:history="1">
        <w:r>
          <w:rPr>
            <w:b w:val="0"/>
            <w:i w:val="0"/>
            <w:color w:val="1F5FA8"/>
          </w:rPr>
          <w:t>Figure S21</w:t>
        </w:r>
      </w:hyperlink>
      <w:r>
        <w:rPr>
          <w:b w:val="0"/>
          <w:i w:val="0"/>
        </w:rP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r>
        <w:rPr>
          <w:b w:val="0"/>
          <w:i w:val="0"/>
        </w:rPr>
        <w:t>Applying the same engine to other laboratories' data turned out to be a harder test than any internal benchmark. Published sequence collections support reproducible reanalysis when clones are linked to animals and genotypes: SHMtrace recovered the principal J</w:t>
      </w:r>
      <w:r>
        <w:rPr>
          <w:i w:val="0"/>
          <w:vertAlign w:val="subscript"/>
        </w:rPr>
        <w:t>H</w:t>
      </w:r>
      <w:r>
        <w:rPr>
          <w:b w:val="0"/>
          <w:i w:val="0"/>
        </w:rPr>
        <w:t>4 frequency and G:C comparisons, matched SW</w:t>
      </w:r>
      <w:r>
        <w:rPr>
          <w:i w:val="0"/>
          <w:vertAlign w:val="subscript"/>
        </w:rPr>
        <w:t>HEL</w:t>
      </w:r>
      <w:r>
        <w:rPr>
          <w:b w:val="0"/>
          <w:i w:val="0"/>
        </w:rP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rPr>
          <w:b w:val="0"/>
          <w:i w:val="0"/>
        </w:rPr>
        <w:t xml:space="preserve"> A:T decrease was not significant in the reanalysis, and the SW</w:t>
      </w:r>
      <w:r>
        <w:rPr>
          <w:i w:val="0"/>
          <w:vertAlign w:val="subscript"/>
        </w:rPr>
        <w:t>HEL</w:t>
      </w:r>
      <w:r>
        <w:rPr>
          <w:b w:val="0"/>
          <w:i w:val="0"/>
        </w:rPr>
        <w:t xml:space="preserve"> total-mutation inference differed under a different test (</w:t>
      </w:r>
      <w:hyperlink w:anchor="tab_S4" w:history="1">
        <w:r>
          <w:rPr>
            <w:b w:val="0"/>
            <w:i w:val="0"/>
            <w:color w:val="1F5FA8"/>
          </w:rPr>
          <w:t>Tables S4</w:t>
        </w:r>
      </w:hyperlink>
      <w:r>
        <w:rPr>
          <w:b w:val="0"/>
          <w:i w:val="0"/>
        </w:rPr>
        <w:t xml:space="preserve"> and </w:t>
      </w:r>
      <w:hyperlink w:anchor="tab_S5" w:history="1">
        <w:r>
          <w:rPr>
            <w:b w:val="0"/>
            <w:i w:val="0"/>
            <w:color w:val="1F5FA8"/>
          </w:rPr>
          <w:t>S5</w:t>
        </w:r>
      </w:hyperlink>
      <w:r>
        <w:rPr>
          <w:b w:val="0"/>
          <w:i w:val="0"/>
        </w:rPr>
        <w:t xml:space="preserve">; </w:t>
      </w:r>
      <w:hyperlink w:anchor="fig_S14" w:history="1">
        <w:r>
          <w:rPr>
            <w:b w:val="0"/>
            <w:i w:val="0"/>
            <w:color w:val="1F5FA8"/>
          </w:rPr>
          <w:t>Figures S14</w:t>
        </w:r>
      </w:hyperlink>
      <w:r>
        <w:rPr>
          <w:b w:val="0"/>
          <w:i w:val="0"/>
        </w:rPr>
        <w:t>–</w:t>
      </w:r>
      <w:hyperlink w:anchor="fig_S16" w:history="1">
        <w:r>
          <w:rPr>
            <w:b w:val="0"/>
            <w:i w:val="0"/>
            <w:color w:val="1F5FA8"/>
          </w:rPr>
          <w:t>S16</w:t>
        </w:r>
      </w:hyperlink>
      <w:r>
        <w:rPr>
          <w:b w:val="0"/>
          <w:i w:val="0"/>
        </w:rPr>
        <w:t>). The Sanger re-analysis also surfaced bookkeeping problems, which SHMtrace now checks and reports rather than silently resolving.</w:t>
      </w:r>
    </w:p>
    <w:p>
      <w:r>
        <w:rPr>
          <w:b w:val="0"/>
          <w:i w:val="0"/>
        </w:rP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i w:val="0"/>
          <w:vertAlign w:val="subscript"/>
        </w:rPr>
        <w:t>H</w:t>
      </w:r>
      <w:r>
        <w:rPr>
          <w:b w:val="0"/>
          <w:i w:val="0"/>
        </w:rPr>
        <w:t>4 mice, the AID-competent against AID-null contrasts made here separate at three animals per group, whereas a two-fold difference between two AID-proficient groups would require about 24, and more if three mice underestimate the variation (</w:t>
      </w:r>
      <w:hyperlink w:anchor="fig_S8" w:history="1">
        <w:r>
          <w:rPr>
            <w:b w:val="0"/>
            <w:i w:val="0"/>
            <w:color w:val="1F5FA8"/>
          </w:rPr>
          <w:t>Figure S8F</w:t>
        </w:r>
      </w:hyperlink>
      <w:r>
        <w:rPr>
          <w:b w:val="0"/>
          <w:i w:val="0"/>
        </w:rPr>
        <w:t>). Sequencing depth cannot substitute for independent biological samples, and no analysis can recover a comparison the design did not support. Within that boundary, however, the framework extends readily. It needs only a target, matched AID-null libraries and a sample sheet, which is why it could be applied to off-target loci, switch regions, engineered diversification and base-editor substrates across twelve loci from eleven laboratories. Further validation on independently prepared runs and UMI-tagged SHM libraries will establish how far it extends. More broadly, SHMtrace offers a practical foundation for studying how AID targeting and DNA repair shape antibody diversification.</w:t>
      </w:r>
    </w:p>
    <w:p>
      <w:pPr>
        <w:keepNext/>
        <w:spacing w:before="160"/>
      </w:pPr>
      <w:r>
        <w:rPr>
          <w:b/>
          <w:i w:val="0"/>
          <w:sz w:val="23"/>
        </w:rPr>
        <w:t>Limitations of the study</w:t>
      </w:r>
    </w:p>
    <w:p>
      <w:r>
        <w:rPr>
          <w:b w:val="0"/>
          <w:i w:val="0"/>
        </w:rP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r>
        <w:rPr>
          <w:b w:val="0"/>
          <w:i w:val="0"/>
        </w:rPr>
        <w:t>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reference policy that retains high-frequency differences. Single-read mutations that cannot be called individually are estimated only in aggregate, and unique-variant densities require comparison at matched sequencing depth.</w:t>
      </w:r>
    </w:p>
    <w:p>
      <w:r>
        <w:rPr>
          <w:b w:val="0"/>
          <w:i w:val="0"/>
        </w:rP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r>
        <w:rPr>
          <w:b w:val="0"/>
          <w:i w:val="0"/>
        </w:rPr>
        <w:t>The core validation used three animals per group for J</w:t>
      </w:r>
      <w:r>
        <w:rPr>
          <w:i w:val="0"/>
          <w:vertAlign w:val="subscript"/>
        </w:rPr>
        <w:t>H</w:t>
      </w:r>
      <w:r>
        <w:rPr>
          <w:b w:val="0"/>
          <w:i w:val="0"/>
        </w:rP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pPr>
        <w:keepNext/>
        <w:spacing w:before="240"/>
      </w:pPr>
      <w:r>
        <w:rPr>
          <w:b/>
          <w:i w:val="0"/>
          <w:sz w:val="26"/>
        </w:rPr>
        <w:t>Resource availability</w:t>
      </w:r>
    </w:p>
    <w:p>
      <w:pPr>
        <w:keepNext/>
        <w:spacing w:before="160"/>
      </w:pPr>
      <w:r>
        <w:rPr>
          <w:b/>
          <w:i w:val="0"/>
          <w:sz w:val="23"/>
        </w:rPr>
        <w:t>Lead contact</w:t>
      </w:r>
    </w:p>
    <w:p>
      <w:r>
        <w:rPr>
          <w:b w:val="0"/>
          <w:i w:val="0"/>
        </w:rPr>
        <w:t>Requests for further information and resources should be directed to and will be fulfilled by the lead contact, Alberto Martin (alberto.martin@utoronto.ca).</w:t>
      </w:r>
    </w:p>
    <w:p>
      <w:pPr>
        <w:keepNext/>
        <w:spacing w:before="160"/>
      </w:pPr>
      <w:r>
        <w:rPr>
          <w:b/>
          <w:i w:val="0"/>
          <w:sz w:val="23"/>
        </w:rPr>
        <w:t>Materials availability</w:t>
      </w:r>
    </w:p>
    <w:p>
      <w:r>
        <w:rPr>
          <w:b w:val="0"/>
          <w:i w:val="0"/>
        </w:rPr>
        <w:t>This study did not generate new unique reagents.</w:t>
      </w:r>
    </w:p>
    <w:p>
      <w:pPr>
        <w:keepNext/>
        <w:spacing w:before="160"/>
      </w:pPr>
      <w:r>
        <w:rPr>
          <w:b/>
          <w:i w:val="0"/>
          <w:sz w:val="23"/>
        </w:rPr>
        <w:t>Data and code availability</w:t>
      </w:r>
    </w:p>
    <w:p>
      <w:r>
        <w:rPr>
          <w:b w:val="0"/>
          <w:i w:val="0"/>
        </w:rPr>
        <w:t>Nanopore reads of the J</w:t>
      </w:r>
      <w:r>
        <w:rPr>
          <w:i w:val="0"/>
          <w:vertAlign w:val="subscript"/>
        </w:rPr>
        <w:t>H</w:t>
      </w:r>
      <w:r>
        <w:rPr>
          <w:b w:val="0"/>
          <w:i w:val="0"/>
        </w:rPr>
        <w:t>4 and N114 V</w:t>
      </w:r>
      <w:r>
        <w:rPr>
          <w:i w:val="0"/>
          <w:vertAlign w:val="subscript"/>
        </w:rPr>
        <w:t>H</w:t>
      </w:r>
      <w:r>
        <w:rPr>
          <w:b w:val="0"/>
          <w:i w:val="0"/>
        </w:rP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b w:val="0"/>
            <w:i w:val="0"/>
            <w:color w:val="1F5FA8"/>
          </w:rPr>
          <w:t>Table S2</w:t>
        </w:r>
      </w:hyperlink>
      <w:r>
        <w:rPr>
          <w:b w:val="0"/>
          <w:i w:val="0"/>
        </w:rPr>
        <w:t xml:space="preserve"> and the key 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pPr>
        <w:keepNext/>
        <w:spacing w:before="240"/>
      </w:pPr>
      <w:r>
        <w:rPr>
          <w:b/>
          <w:i w:val="0"/>
          <w:sz w:val="26"/>
        </w:rPr>
        <w:t>Acknowledgments</w:t>
      </w:r>
    </w:p>
    <w:p>
      <w:r>
        <w:rPr>
          <w:b w:val="0"/>
          <w:i w:val="0"/>
        </w:rP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pPr>
        <w:keepNext/>
        <w:spacing w:before="240"/>
      </w:pPr>
      <w:r>
        <w:rPr>
          <w:b/>
          <w:i w:val="0"/>
          <w:sz w:val="26"/>
        </w:rPr>
        <w:t>Author contributions</w:t>
      </w:r>
    </w:p>
    <w:p>
      <w:r>
        <w:rPr>
          <w:b w:val="0"/>
          <w:i w:val="0"/>
        </w:rPr>
        <w:t>Conceptualization, A.A. and A.M.; methodology, A.A.; software, A.A.; validation, A.A.; formal analysis, A.A.; investigation, A.A. and P.B.; data curation, A.A.; writing – original draft, A.A.; writing – review &amp; editing, A.A. and A.M.; visualization, A.A.; supervision, A.M.; funding acquisition, A.M.</w:t>
      </w:r>
    </w:p>
    <w:p>
      <w:pPr>
        <w:keepNext/>
        <w:spacing w:before="240"/>
      </w:pPr>
      <w:r>
        <w:rPr>
          <w:b/>
          <w:i w:val="0"/>
          <w:sz w:val="26"/>
        </w:rPr>
        <w:t>Declaration of interests</w:t>
      </w:r>
    </w:p>
    <w:p>
      <w:r>
        <w:rPr>
          <w:b w:val="0"/>
          <w:i w:val="0"/>
        </w:rPr>
        <w:t>The authors declare no competing interests.</w:t>
      </w:r>
    </w:p>
    <w:p>
      <w:pPr>
        <w:keepNext/>
        <w:spacing w:before="240"/>
      </w:pPr>
      <w:r>
        <w:rPr>
          <w:b/>
          <w:i w:val="0"/>
          <w:sz w:val="26"/>
        </w:rPr>
        <w:t>Declaration of generative AI and AI-assisted technologies in the manuscript preparation process</w:t>
      </w:r>
    </w:p>
    <w:p>
      <w:r>
        <w:rPr>
          <w:b w:val="0"/>
          <w:i w:val="0"/>
        </w:rPr>
        <w:t>During the preparation of this work, the authors used Anthropic Claude and OpenAI Codex to assist with drafting the analysis and figure code, language editing and figure layout. After using these tools, the authors reviewed and edited the content as needed and take full responsibility for the content of the published article.</w:t>
      </w:r>
    </w:p>
    <w:p>
      <w:pPr>
        <w:keepNext/>
        <w:spacing w:before="240"/>
      </w:pPr>
      <w:r>
        <w:rPr>
          <w:b/>
          <w:i w:val="0"/>
          <w:sz w:val="26"/>
        </w:rPr>
        <w:t>Supplemental information</w:t>
      </w:r>
    </w:p>
    <w:p>
      <w:r>
        <w:rPr>
          <w:b w:val="0"/>
          <w:i w:val="0"/>
        </w:rPr>
        <w:t xml:space="preserve">Document S1. </w:t>
      </w:r>
      <w:hyperlink w:anchor="fig_S1" w:history="1">
        <w:r>
          <w:rPr>
            <w:b w:val="0"/>
            <w:i w:val="0"/>
            <w:color w:val="1F5FA8"/>
          </w:rPr>
          <w:t>Figures S1</w:t>
        </w:r>
      </w:hyperlink>
      <w:r>
        <w:rPr>
          <w:b w:val="0"/>
          <w:i w:val="0"/>
        </w:rPr>
        <w:t>–</w:t>
      </w:r>
      <w:hyperlink w:anchor="fig_S24" w:history="1">
        <w:r>
          <w:rPr>
            <w:b w:val="0"/>
            <w:i w:val="0"/>
            <w:color w:val="1F5FA8"/>
          </w:rPr>
          <w:t>S24</w:t>
        </w:r>
      </w:hyperlink>
      <w:r>
        <w:rPr>
          <w:b w:val="0"/>
          <w:i w:val="0"/>
        </w:rPr>
        <w:t xml:space="preserve"> and </w:t>
      </w:r>
      <w:hyperlink w:anchor="tab_S2" w:history="1">
        <w:r>
          <w:rPr>
            <w:b w:val="0"/>
            <w:i w:val="0"/>
            <w:color w:val="1F5FA8"/>
          </w:rPr>
          <w:t>Tables S2</w:t>
        </w:r>
      </w:hyperlink>
      <w:r>
        <w:rPr>
          <w:b w:val="0"/>
          <w:i w:val="0"/>
        </w:rPr>
        <w:t>–</w:t>
      </w:r>
      <w:hyperlink w:anchor="tab_S7" w:history="1">
        <w:r>
          <w:rPr>
            <w:b w:val="0"/>
            <w:i w:val="0"/>
            <w:color w:val="1F5FA8"/>
          </w:rPr>
          <w:t>S7</w:t>
        </w:r>
      </w:hyperlink>
    </w:p>
    <w:p>
      <w:bookmarkStart w:id="1" w:name="tab_S1"/>
      <w:bookmarkEnd w:id="1"/>
      <w:hyperlink w:anchor="tab_S1" w:history="1">
        <w:r>
          <w:rPr>
            <w:b w:val="0"/>
            <w:i w:val="0"/>
            <w:color w:val="1F5FA8"/>
          </w:rPr>
          <w:t>Table S1</w:t>
        </w:r>
      </w:hyperlink>
      <w:r>
        <w:rPr>
          <w:b w:val="0"/>
          <w:i w:val="0"/>
        </w:rPr>
        <w:t xml:space="preserve">. Caller comparison: the five calling settings on real libraries in </w:t>
      </w:r>
      <w:hyperlink w:anchor="fig_4" w:history="1">
        <w:r>
          <w:rPr>
            <w:b w:val="0"/>
            <w:i w:val="0"/>
            <w:color w:val="1F5FA8"/>
          </w:rPr>
          <w:t>Figure 4</w:t>
        </w:r>
      </w:hyperlink>
      <w:r>
        <w:rPr>
          <w:b w:val="0"/>
          <w:i w:val="0"/>
        </w:rPr>
        <w:t>, and planted-mutation results for all tested callers and two SHMtrace ablations (Excel)</w:t>
      </w:r>
    </w:p>
    <w:p>
      <w:r>
        <w:rPr>
          <w:b w:val="0"/>
          <w:i w:val="0"/>
        </w:rPr>
        <w:t>Data S1. Benchmark outputs (JSON) and SHMtrace project files for every analysis</w:t>
      </w:r>
    </w:p>
    <w:p>
      <w:pPr>
        <w:keepNext/>
        <w:pageBreakBefore/>
        <w:spacing w:before="240"/>
      </w:pPr>
      <w:r>
        <w:rPr>
          <w:b/>
          <w:i w:val="0"/>
          <w:sz w:val="26"/>
        </w:rPr>
        <w:t>Figure titles and legends</w:t>
      </w:r>
    </w:p>
    <w:p>
      <w:pPr>
        <w:keepNext/>
        <w:spacing w:after="100"/>
        <w:jc w:val="center"/>
      </w:pPr>
      <w:r>
        <w:drawing>
          <wp:inline xmlns:a="http://schemas.openxmlformats.org/drawingml/2006/main" xmlns:pic="http://schemas.openxmlformats.org/drawingml/2006/picture">
            <wp:extent cx="6264000" cy="5799458"/>
            <wp:docPr id="1" name="Picture 1"/>
            <wp:cNvGraphicFramePr>
              <a:graphicFrameLocks noChangeAspect="1"/>
            </wp:cNvGraphicFramePr>
            <a:graphic>
              <a:graphicData uri="http://schemas.openxmlformats.org/drawingml/2006/picture">
                <pic:pic>
                  <pic:nvPicPr>
                    <pic:cNvPr id="0" name="Figure1_preview.png"/>
                    <pic:cNvPicPr/>
                  </pic:nvPicPr>
                  <pic:blipFill>
                    <a:blip r:embed="rId10"/>
                    <a:stretch>
                      <a:fillRect/>
                    </a:stretch>
                  </pic:blipFill>
                  <pic:spPr>
                    <a:xfrm>
                      <a:off x="0" y="0"/>
                      <a:ext cx="6264000" cy="5799458"/>
                    </a:xfrm>
                    <a:prstGeom prst="rect"/>
                  </pic:spPr>
                </pic:pic>
              </a:graphicData>
            </a:graphic>
          </wp:inline>
        </w:drawing>
      </w:r>
    </w:p>
    <w:p>
      <w:pPr>
        <w:spacing w:line="240" w:lineRule="auto" w:after="80"/>
        <w:jc w:val="both"/>
      </w:pPr>
      <w:bookmarkStart w:id="2" w:name="fig_1"/>
      <w:bookmarkEnd w:id="2"/>
      <w:hyperlink w:anchor="fig_1" w:history="1">
        <w:r>
          <w:rPr>
            <w:b/>
            <w:i w:val="0"/>
            <w:color w:val="1F5FA8"/>
            <w:sz w:val="20"/>
          </w:rPr>
          <w:t>Figure 1</w:t>
        </w:r>
      </w:hyperlink>
      <w:r>
        <w:rPr>
          <w:b/>
          <w:i w:val="0"/>
          <w:sz w:val="20"/>
        </w:rPr>
        <w:t xml:space="preserve">. SHMtrace tests read-library variants against controls and counts Sanger substitutions separately. </w:t>
      </w:r>
      <w:r>
        <w:rPr>
          <w:b w:val="0"/>
          <w:i w:val="0"/>
          <w:sz w:val="20"/>
        </w:rPr>
        <w:t>(</w:t>
      </w:r>
      <w:r>
        <w:rPr>
          <w:b/>
          <w:i w:val="0"/>
          <w:sz w:val="20"/>
        </w:rPr>
        <w:t>A</w:t>
      </w:r>
      <w:r>
        <w:rPr>
          <w:b w:val="0"/>
          <w:i w:val="0"/>
          <w:sz w:val="20"/>
        </w:rPr>
        <w:t>)</w:t>
      </w:r>
      <w:r>
        <w:rPr>
          <w:b w:val="0"/>
          <w:i w:val="0"/>
          <w:sz w:val="20"/>
        </w:rPr>
        <w:t xml:space="preserve"> Quality-based and control-calibrated decisions, drawn schematically. </w:t>
      </w:r>
      <w:r>
        <w:rPr>
          <w:b w:val="0"/>
          <w:i w:val="0"/>
          <w:sz w:val="20"/>
        </w:rPr>
        <w:t>(</w:t>
      </w:r>
      <w:r>
        <w:rPr>
          <w:b/>
          <w:i w:val="0"/>
          <w:sz w:val="20"/>
        </w:rPr>
        <w:t>B</w:t>
      </w:r>
      <w:r>
        <w:rPr>
          <w:b w:val="0"/>
          <w:i w:val="0"/>
          <w:sz w:val="20"/>
        </w:rPr>
        <w:t>)</w:t>
      </w:r>
      <w:r>
        <w:rPr>
          <w:b w:val="0"/>
          <w:i w:val="0"/>
          <w:sz w:val="20"/>
        </w:rPr>
        <w:t xml:space="preserve"> Inputs and read preparation. </w:t>
      </w:r>
      <w:r>
        <w:rPr>
          <w:b w:val="0"/>
          <w:i w:val="0"/>
          <w:sz w:val="20"/>
        </w:rPr>
        <w:t>(</w:t>
      </w:r>
      <w:r>
        <w:rPr>
          <w:b/>
          <w:i w:val="0"/>
          <w:sz w:val="20"/>
        </w:rPr>
        <w:t>C</w:t>
      </w:r>
      <w:r>
        <w:rPr>
          <w:b w:val="0"/>
          <w:i w:val="0"/>
          <w:sz w:val="20"/>
        </w:rPr>
        <w:t>)</w:t>
      </w:r>
      <w:r>
        <w:rPr>
          <w:b w:val="0"/>
          <w:i w:val="0"/>
          <w:sz w:val="20"/>
        </w:rPr>
        <w:t xml:space="preserve"> Read libraries are tested against a control-fitted error model with an empirical, decoy-based threshold, and single-read support is allowed. Sanger Q≥20 substitutions are counted, with expected background reported beside them rather than subtracted. Both routes share the window, quality checks and the heuristic ≥50% allele exclusion. </w:t>
      </w:r>
      <w:r>
        <w:rPr>
          <w:b w:val="0"/>
          <w:i w:val="0"/>
          <w:sz w:val="20"/>
        </w:rPr>
        <w:t>(</w:t>
      </w:r>
      <w:r>
        <w:rPr>
          <w:b/>
          <w:i w:val="0"/>
          <w:sz w:val="20"/>
        </w:rPr>
        <w:t>D</w:t>
      </w:r>
      <w:r>
        <w:rPr>
          <w:b w:val="0"/>
          <w:i w:val="0"/>
          <w:sz w:val="20"/>
        </w:rPr>
        <w:t>)</w:t>
      </w:r>
      <w:r>
        <w:rPr>
          <w:b w:val="0"/>
          <w:i w:val="0"/>
          <w:sz w:val="20"/>
        </w:rPr>
        <w:t xml:space="preserve"> Outputs, with comparisons across biological replicates. PacBio reads are analysed for junction structure only.</w:t>
      </w:r>
    </w:p>
    <w:p>
      <w:pPr>
        <w:keepNext/>
        <w:pageBreakBefore/>
        <w:spacing w:after="100"/>
        <w:jc w:val="center"/>
      </w:pPr>
      <w:r>
        <w:drawing>
          <wp:inline xmlns:a="http://schemas.openxmlformats.org/drawingml/2006/main" xmlns:pic="http://schemas.openxmlformats.org/drawingml/2006/picture">
            <wp:extent cx="6264000" cy="4247632"/>
            <wp:docPr id="2" name="Picture 2"/>
            <wp:cNvGraphicFramePr>
              <a:graphicFrameLocks noChangeAspect="1"/>
            </wp:cNvGraphicFramePr>
            <a:graphic>
              <a:graphicData uri="http://schemas.openxmlformats.org/drawingml/2006/picture">
                <pic:pic>
                  <pic:nvPicPr>
                    <pic:cNvPr id="0" name="Figure2.png"/>
                    <pic:cNvPicPr/>
                  </pic:nvPicPr>
                  <pic:blipFill>
                    <a:blip r:embed="rId11"/>
                    <a:stretch>
                      <a:fillRect/>
                    </a:stretch>
                  </pic:blipFill>
                  <pic:spPr>
                    <a:xfrm>
                      <a:off x="0" y="0"/>
                      <a:ext cx="6264000" cy="4247632"/>
                    </a:xfrm>
                    <a:prstGeom prst="rect"/>
                  </pic:spPr>
                </pic:pic>
              </a:graphicData>
            </a:graphic>
          </wp:inline>
        </w:drawing>
      </w:r>
    </w:p>
    <w:p>
      <w:pPr>
        <w:spacing w:line="240" w:lineRule="auto" w:after="80"/>
        <w:jc w:val="both"/>
      </w:pPr>
      <w:bookmarkStart w:id="3" w:name="fig_2"/>
      <w:bookmarkEnd w:id="3"/>
      <w:hyperlink w:anchor="fig_2" w:history="1">
        <w:r>
          <w:rPr>
            <w:b/>
            <w:i w:val="0"/>
            <w:color w:val="1F5FA8"/>
            <w:sz w:val="20"/>
          </w:rPr>
          <w:t>Figure 2</w:t>
        </w:r>
      </w:hyperlink>
      <w:r>
        <w:rPr>
          <w:b/>
          <w:i w:val="0"/>
          <w:sz w:val="20"/>
        </w:rPr>
        <w:t xml:space="preserve">. Matched controls distinguish candidate substitutions from recurrent background. </w:t>
      </w:r>
      <w:r>
        <w:rPr>
          <w:b w:val="0"/>
          <w:i w:val="0"/>
          <w:sz w:val="20"/>
        </w:rPr>
        <w:t>(</w:t>
      </w:r>
      <w:r>
        <w:rPr>
          <w:b/>
          <w:i w:val="0"/>
          <w:sz w:val="20"/>
        </w:rPr>
        <w:t>A, B</w:t>
      </w:r>
      <w:r>
        <w:rPr>
          <w:b w:val="0"/>
          <w:i w:val="0"/>
          <w:sz w:val="20"/>
        </w:rPr>
        <w:t>)</w:t>
      </w:r>
      <w:r>
        <w:rPr>
          <w:b w:val="0"/>
          <w:i w:val="0"/>
          <w:sz w:val="20"/>
        </w:rPr>
        <w:t xml:space="preserve"> Support for two C-to-T candidates, at a hotspot </w:t>
      </w:r>
      <w:r>
        <w:rPr>
          <w:b w:val="0"/>
          <w:i w:val="0"/>
          <w:sz w:val="20"/>
        </w:rPr>
        <w:t>(</w:t>
      </w:r>
      <w:r>
        <w:rPr>
          <w:b/>
          <w:i w:val="0"/>
          <w:sz w:val="20"/>
        </w:rPr>
        <w:t>A</w:t>
      </w:r>
      <w:r>
        <w:rPr>
          <w:b w:val="0"/>
          <w:i w:val="0"/>
          <w:sz w:val="20"/>
        </w:rPr>
        <w:t>)</w:t>
      </w:r>
      <w:r>
        <w:rPr>
          <w:b w:val="0"/>
          <w:i w:val="0"/>
          <w:sz w:val="20"/>
        </w:rPr>
        <w:t xml:space="preserve"> and a recurrent-background position </w:t>
      </w:r>
      <w:r>
        <w:rPr>
          <w:b w:val="0"/>
          <w:i w:val="0"/>
          <w:sz w:val="20"/>
        </w:rPr>
        <w:t>(</w:t>
      </w:r>
      <w:r>
        <w:rPr>
          <w:b/>
          <w:i w:val="0"/>
          <w:sz w:val="20"/>
        </w:rPr>
        <w:t>B</w:t>
      </w:r>
      <w:r>
        <w:rPr>
          <w:b w:val="0"/>
          <w:i w:val="0"/>
          <w:sz w:val="20"/>
        </w:rPr>
        <w:t>)</w:t>
      </w:r>
      <w:r>
        <w:rPr>
          <w:b w:val="0"/>
          <w:i w:val="0"/>
          <w:sz w:val="20"/>
        </w:rPr>
        <w:t xml:space="preserve">, in Sμ WT3 and its three AID-null controls (PRJNA1481264; 2,000 reads per library). Counts include all qualities, with Q≥20 subsets in parentheses; p, SHMtrace's test. </w:t>
      </w:r>
      <w:r>
        <w:rPr>
          <w:b w:val="0"/>
          <w:i w:val="0"/>
          <w:sz w:val="20"/>
        </w:rPr>
        <w:t>(</w:t>
      </w:r>
      <w:r>
        <w:rPr>
          <w:b/>
          <w:i w:val="0"/>
          <w:sz w:val="20"/>
        </w:rPr>
        <w:t>C</w:t>
      </w:r>
      <w:r>
        <w:rPr>
          <w:b w:val="0"/>
          <w:i w:val="0"/>
          <w:sz w:val="20"/>
        </w:rPr>
        <w:t>)</w:t>
      </w:r>
      <w:r>
        <w:rPr>
          <w:b w:val="0"/>
          <w:i w:val="0"/>
          <w:sz w:val="20"/>
        </w:rPr>
        <w:t xml:space="preserve"> Base qualities of the supporting reads; bars, medians. </w:t>
      </w:r>
      <w:r>
        <w:rPr>
          <w:b w:val="0"/>
          <w:i w:val="0"/>
          <w:sz w:val="20"/>
        </w:rPr>
        <w:t>(</w:t>
      </w:r>
      <w:r>
        <w:rPr>
          <w:b/>
          <w:i w:val="0"/>
          <w:sz w:val="20"/>
        </w:rPr>
        <w:t>D</w:t>
      </w:r>
      <w:r>
        <w:rPr>
          <w:b w:val="0"/>
          <w:i w:val="0"/>
          <w:sz w:val="20"/>
        </w:rPr>
        <w:t>)</w:t>
      </w:r>
      <w:r>
        <w:rPr>
          <w:b w:val="0"/>
          <w:i w:val="0"/>
          <w:sz w:val="20"/>
        </w:rPr>
        <w:t xml:space="preserve"> Candidates kept and decoy-estimated false calls across p-value thresholds; the threshold is the largest at which the estimate stays within 5% of the candidates kept, an empirical estimate rather than a guaranteed FDR. </w:t>
      </w:r>
      <w:r>
        <w:rPr>
          <w:b w:val="0"/>
          <w:i w:val="0"/>
          <w:sz w:val="20"/>
        </w:rPr>
        <w:t>(</w:t>
      </w:r>
      <w:r>
        <w:rPr>
          <w:b/>
          <w:i w:val="0"/>
          <w:sz w:val="20"/>
        </w:rPr>
        <w:t>E</w:t>
      </w:r>
      <w:r>
        <w:rPr>
          <w:b w:val="0"/>
          <w:i w:val="0"/>
          <w:sz w:val="20"/>
        </w:rPr>
        <w:t>)</w:t>
      </w:r>
      <w:r>
        <w:rPr>
          <w:b w:val="0"/>
          <w:i w:val="0"/>
          <w:sz w:val="20"/>
        </w:rPr>
        <w:t xml:space="preserve"> Allele fractions of 1,197 retained calls in 12 AID-active libraries. See </w:t>
      </w:r>
      <w:hyperlink w:anchor="fig_3" w:history="1">
        <w:r>
          <w:rPr>
            <w:b/>
            <w:i w:val="0"/>
            <w:color w:val="1F5FA8"/>
            <w:sz w:val="20"/>
          </w:rPr>
          <w:t>Figures 3C</w:t>
        </w:r>
      </w:hyperlink>
      <w:r>
        <w:rPr>
          <w:b/>
          <w:i w:val="0"/>
          <w:sz w:val="20"/>
        </w:rPr>
        <w:t xml:space="preserve"> and </w:t>
      </w:r>
      <w:hyperlink w:anchor="fig_S2" w:history="1">
        <w:r>
          <w:rPr>
            <w:b/>
            <w:i w:val="0"/>
            <w:color w:val="1F5FA8"/>
            <w:sz w:val="20"/>
          </w:rPr>
          <w:t>S2</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390896"/>
            <wp:docPr id="3" name="Picture 3"/>
            <wp:cNvGraphicFramePr>
              <a:graphicFrameLocks noChangeAspect="1"/>
            </wp:cNvGraphicFramePr>
            <a:graphic>
              <a:graphicData uri="http://schemas.openxmlformats.org/drawingml/2006/picture">
                <pic:pic>
                  <pic:nvPicPr>
                    <pic:cNvPr id="0" name="Figure3.png"/>
                    <pic:cNvPicPr/>
                  </pic:nvPicPr>
                  <pic:blipFill>
                    <a:blip r:embed="rId12"/>
                    <a:stretch>
                      <a:fillRect/>
                    </a:stretch>
                  </pic:blipFill>
                  <pic:spPr>
                    <a:xfrm>
                      <a:off x="0" y="0"/>
                      <a:ext cx="6264000" cy="4390896"/>
                    </a:xfrm>
                    <a:prstGeom prst="rect"/>
                  </pic:spPr>
                </pic:pic>
              </a:graphicData>
            </a:graphic>
          </wp:inline>
        </w:drawing>
      </w:r>
    </w:p>
    <w:p>
      <w:pPr>
        <w:spacing w:line="240" w:lineRule="auto" w:after="80"/>
        <w:jc w:val="both"/>
      </w:pPr>
      <w:bookmarkStart w:id="4" w:name="fig_3"/>
      <w:bookmarkEnd w:id="4"/>
      <w:hyperlink w:anchor="fig_3" w:history="1">
        <w:r>
          <w:rPr>
            <w:b/>
            <w:i w:val="0"/>
            <w:color w:val="1F5FA8"/>
            <w:sz w:val="20"/>
          </w:rPr>
          <w:t>Figure 3</w:t>
        </w:r>
      </w:hyperlink>
      <w:r>
        <w:rPr>
          <w:b/>
          <w:i w:val="0"/>
          <w:sz w:val="20"/>
        </w:rPr>
        <w:t xml:space="preserve">. Planted mutations quantify recall and false calls. </w:t>
      </w:r>
      <w:r>
        <w:rPr>
          <w:b w:val="0"/>
          <w:i w:val="0"/>
          <w:sz w:val="20"/>
        </w:rPr>
        <w:t>(</w:t>
      </w:r>
      <w:r>
        <w:rPr>
          <w:b/>
          <w:i w:val="0"/>
          <w:sz w:val="20"/>
        </w:rPr>
        <w:t>A, B</w:t>
      </w:r>
      <w:r>
        <w:rPr>
          <w:b w:val="0"/>
          <w:i w:val="0"/>
          <w:sz w:val="20"/>
        </w:rPr>
        <w:t>)</w:t>
      </w:r>
      <w:r>
        <w:rPr>
          <w:b w:val="0"/>
          <w:i w:val="0"/>
          <w:sz w:val="20"/>
        </w:rPr>
        <w:t xml:space="preserve"> Recall of planted substitutions by supporting reads: 60 sites × 3 draws × 3 held-out controls per locus; vertical lines, range over controls; FDP, pooled false over all calls. </w:t>
      </w:r>
      <w:r>
        <w:rPr>
          <w:b w:val="0"/>
          <w:i w:val="0"/>
          <w:sz w:val="20"/>
        </w:rPr>
        <w:t>(</w:t>
      </w:r>
      <w:r>
        <w:rPr>
          <w:b/>
          <w:i w:val="0"/>
          <w:sz w:val="20"/>
        </w:rPr>
        <w:t>C</w:t>
      </w:r>
      <w:r>
        <w:rPr>
          <w:b w:val="0"/>
          <w:i w:val="0"/>
          <w:sz w:val="20"/>
        </w:rPr>
        <w:t>)</w:t>
      </w:r>
      <w:r>
        <w:rPr>
          <w:b w:val="0"/>
          <w:i w:val="0"/>
          <w:sz w:val="20"/>
        </w:rPr>
        <w:t xml:space="preserve"> Permissive somatic callers on J</w:t>
      </w:r>
      <w:r>
        <w:rPr>
          <w:i w:val="0"/>
          <w:sz w:val="20"/>
          <w:vertAlign w:val="subscript"/>
        </w:rPr>
        <w:t>H</w:t>
      </w:r>
      <w:r>
        <w:rPr>
          <w:b w:val="0"/>
          <w:i w:val="0"/>
          <w:sz w:val="20"/>
        </w:rPr>
        <w:t xml:space="preserve">4, given peer controls as matched normals: solid, the spike-ins of A; dashed, clean plants at 5–20% of reads. Grey, cumulative share of the real SHMtrace calls in </w:t>
      </w:r>
      <w:hyperlink w:anchor="fig_2" w:history="1">
        <w:r>
          <w:rPr>
            <w:b/>
            <w:i w:val="0"/>
            <w:color w:val="1F5FA8"/>
            <w:sz w:val="20"/>
          </w:rPr>
          <w:t>Figure 2E</w:t>
        </w:r>
      </w:hyperlink>
      <w:r>
        <w:rPr>
          <w:b w:val="0"/>
          <w:i w:val="0"/>
          <w:sz w:val="20"/>
        </w:rPr>
        <w:t xml:space="preserve">. </w:t>
      </w:r>
      <w:r>
        <w:rPr>
          <w:b w:val="0"/>
          <w:i w:val="0"/>
          <w:sz w:val="20"/>
        </w:rPr>
        <w:t>(</w:t>
      </w:r>
      <w:r>
        <w:rPr>
          <w:b/>
          <w:i w:val="0"/>
          <w:sz w:val="20"/>
        </w:rPr>
        <w:t>D</w:t>
      </w:r>
      <w:r>
        <w:rPr>
          <w:b w:val="0"/>
          <w:i w:val="0"/>
          <w:sz w:val="20"/>
        </w:rPr>
        <w:t>)</w:t>
      </w:r>
      <w:r>
        <w:rPr>
          <w:b w:val="0"/>
          <w:i w:val="0"/>
          <w:sz w:val="20"/>
        </w:rPr>
        <w:t xml:space="preserve"> Recall against false calls per library for every caller at four loci. BAQ, base-alignment quality. See </w:t>
      </w:r>
      <w:hyperlink w:anchor="fig_S4" w:history="1">
        <w:r>
          <w:rPr>
            <w:b/>
            <w:i w:val="0"/>
            <w:color w:val="1F5FA8"/>
            <w:sz w:val="20"/>
          </w:rPr>
          <w:t>Figures S4</w:t>
        </w:r>
      </w:hyperlink>
      <w:r>
        <w:rPr>
          <w:b/>
          <w:i w:val="0"/>
          <w:sz w:val="20"/>
        </w:rPr>
        <w:t>–</w:t>
      </w:r>
      <w:hyperlink w:anchor="fig_S8" w:history="1">
        <w:r>
          <w:rPr>
            <w:b/>
            <w:i w:val="0"/>
            <w:color w:val="1F5FA8"/>
            <w:sz w:val="20"/>
          </w:rPr>
          <w:t>S8</w:t>
        </w:r>
      </w:hyperlink>
      <w:r>
        <w:rPr>
          <w:b/>
          <w:i w:val="0"/>
          <w:sz w:val="20"/>
        </w:rPr>
        <w:t xml:space="preserve"> and </w:t>
      </w:r>
      <w:hyperlink w:anchor="fig_S24" w:history="1">
        <w:r>
          <w:rPr>
            <w:b/>
            <w:i w:val="0"/>
            <w:color w:val="1F5FA8"/>
            <w:sz w:val="20"/>
          </w:rPr>
          <w:t>S24</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6" w:history="1">
        <w:r>
          <w:rPr>
            <w:b/>
            <w:i w:val="0"/>
            <w:color w:val="1F5FA8"/>
            <w:sz w:val="20"/>
          </w:rPr>
          <w:t>S6</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5399842"/>
            <wp:docPr id="4" name="Picture 4"/>
            <wp:cNvGraphicFramePr>
              <a:graphicFrameLocks noChangeAspect="1"/>
            </wp:cNvGraphicFramePr>
            <a:graphic>
              <a:graphicData uri="http://schemas.openxmlformats.org/drawingml/2006/picture">
                <pic:pic>
                  <pic:nvPicPr>
                    <pic:cNvPr id="0" name="Figure4.png"/>
                    <pic:cNvPicPr/>
                  </pic:nvPicPr>
                  <pic:blipFill>
                    <a:blip r:embed="rId13"/>
                    <a:stretch>
                      <a:fillRect/>
                    </a:stretch>
                  </pic:blipFill>
                  <pic:spPr>
                    <a:xfrm>
                      <a:off x="0" y="0"/>
                      <a:ext cx="6264000" cy="5399842"/>
                    </a:xfrm>
                    <a:prstGeom prst="rect"/>
                  </pic:spPr>
                </pic:pic>
              </a:graphicData>
            </a:graphic>
          </wp:inline>
        </w:drawing>
      </w:r>
    </w:p>
    <w:p>
      <w:pPr>
        <w:spacing w:line="240" w:lineRule="auto" w:after="80"/>
        <w:jc w:val="both"/>
      </w:pPr>
      <w:bookmarkStart w:id="5" w:name="fig_4"/>
      <w:bookmarkEnd w:id="5"/>
      <w:hyperlink w:anchor="fig_4" w:history="1">
        <w:r>
          <w:rPr>
            <w:b/>
            <w:i w:val="0"/>
            <w:color w:val="1F5FA8"/>
            <w:sz w:val="20"/>
          </w:rPr>
          <w:t>Figure 4</w:t>
        </w:r>
      </w:hyperlink>
      <w:r>
        <w:rPr>
          <w:b/>
          <w:i w:val="0"/>
          <w:sz w:val="20"/>
        </w:rPr>
        <w:t xml:space="preserve">. Matched controls reduce apparent substitution background in real libraries. </w:t>
      </w:r>
      <w:r>
        <w:rPr>
          <w:b w:val="0"/>
          <w:i w:val="0"/>
          <w:sz w:val="20"/>
        </w:rPr>
        <w:t>(</w:t>
      </w:r>
      <w:r>
        <w:rPr>
          <w:b/>
          <w:i w:val="0"/>
          <w:sz w:val="20"/>
        </w:rPr>
        <w:t>A–E</w:t>
      </w:r>
      <w:r>
        <w:rPr>
          <w:b w:val="0"/>
          <w:i w:val="0"/>
          <w:sz w:val="20"/>
        </w:rPr>
        <w:t>)</w:t>
      </w:r>
      <w:r>
        <w:rPr>
          <w:b w:val="0"/>
          <w:i w:val="0"/>
          <w:sz w:val="20"/>
        </w:rPr>
        <w:t xml:space="preserve"> Unique variants per 10</w:t>
      </w:r>
      <w:r>
        <w:rPr>
          <w:i w:val="0"/>
          <w:sz w:val="20"/>
          <w:vertAlign w:val="superscript"/>
        </w:rPr>
        <w:t>5</w:t>
      </w:r>
      <w:r>
        <w:rPr>
          <w:b w:val="0"/>
          <w:i w:val="0"/>
          <w:sz w:val="20"/>
        </w:rPr>
        <w:t xml:space="preserve"> analyzed bases for each caller: blue, AID-competent libraries; red, AID-null; shaded strip below the axis break, libraries with no call. Welch tests on log density, Holm-adjusted across callers, with zero-call libraries at one event; ns, not significant, which with three libraries per group does not show that a caller fails; *p&lt;0.05; **p&lt;0.01; ***p&lt;0.001. </w:t>
      </w:r>
      <w:r>
        <w:rPr>
          <w:b w:val="0"/>
          <w:i w:val="0"/>
          <w:sz w:val="20"/>
        </w:rPr>
        <w:t>(</w:t>
      </w:r>
      <w:r>
        <w:rPr>
          <w:b/>
          <w:i w:val="0"/>
          <w:sz w:val="20"/>
        </w:rPr>
        <w:t>F</w:t>
      </w:r>
      <w:r>
        <w:rPr>
          <w:b w:val="0"/>
          <w:i w:val="0"/>
          <w:sz w:val="20"/>
        </w:rPr>
        <w:t>)</w:t>
      </w:r>
      <w:r>
        <w:rPr>
          <w:b w:val="0"/>
          <w:i w:val="0"/>
          <w:sz w:val="20"/>
        </w:rPr>
        <w:t xml:space="preserve"> Geometric-mean case/control separation, same zero convention; CH12 OT1/OT2, AID off-target loci in CH12 cells. </w:t>
      </w:r>
      <w:r>
        <w:rPr>
          <w:b w:val="0"/>
          <w:i w:val="0"/>
          <w:sz w:val="20"/>
        </w:rPr>
        <w:t>(</w:t>
      </w:r>
      <w:r>
        <w:rPr>
          <w:b/>
          <w:i w:val="0"/>
          <w:sz w:val="20"/>
        </w:rPr>
        <w:t>G</w:t>
      </w:r>
      <w:r>
        <w:rPr>
          <w:b w:val="0"/>
          <w:i w:val="0"/>
          <w:sz w:val="20"/>
        </w:rPr>
        <w:t>)</w:t>
      </w:r>
      <w:r>
        <w:rPr>
          <w:b w:val="0"/>
          <w:i w:val="0"/>
          <w:sz w:val="20"/>
        </w:rPr>
        <w:t xml:space="preserve"> Calls summed over three controls. </w:t>
      </w:r>
      <w:r>
        <w:rPr>
          <w:b w:val="0"/>
          <w:i w:val="0"/>
          <w:sz w:val="20"/>
        </w:rPr>
        <w:t>(</w:t>
      </w:r>
      <w:r>
        <w:rPr>
          <w:b/>
          <w:i w:val="0"/>
          <w:sz w:val="20"/>
        </w:rPr>
        <w:t>H</w:t>
      </w:r>
      <w:r>
        <w:rPr>
          <w:b w:val="0"/>
          <w:i w:val="0"/>
          <w:sz w:val="20"/>
        </w:rPr>
        <w:t>)</w:t>
      </w:r>
      <w:r>
        <w:rPr>
          <w:b w:val="0"/>
          <w:i w:val="0"/>
          <w:sz w:val="20"/>
        </w:rPr>
        <w:t xml:space="preserve"> Held-out control tests with p&lt;0.01 by error margin; dotted line, 1% expected if calibrated; rings, selected margin. See </w:t>
      </w:r>
      <w:hyperlink w:anchor="fig_S9" w:history="1">
        <w:r>
          <w:rPr>
            <w:b/>
            <w:i w:val="0"/>
            <w:color w:val="1F5FA8"/>
            <w:sz w:val="20"/>
          </w:rPr>
          <w:t>Figures S9</w:t>
        </w:r>
      </w:hyperlink>
      <w:r>
        <w:rPr>
          <w:b/>
          <w:i w:val="0"/>
          <w:sz w:val="20"/>
        </w:rPr>
        <w:t>–</w:t>
      </w:r>
      <w:hyperlink w:anchor="fig_S11" w:history="1">
        <w:r>
          <w:rPr>
            <w:b/>
            <w:i w:val="0"/>
            <w:color w:val="1F5FA8"/>
            <w:sz w:val="20"/>
          </w:rPr>
          <w:t>S11</w:t>
        </w:r>
      </w:hyperlink>
      <w:r>
        <w:rPr>
          <w:b w:val="0"/>
          <w:i w:val="0"/>
          <w:sz w:val="20"/>
        </w:rPr>
        <w:t xml:space="preserve">; </w:t>
      </w:r>
      <w:hyperlink w:anchor="tab_S1" w:history="1">
        <w:r>
          <w:rPr>
            <w:b/>
            <w:i w:val="0"/>
            <w:color w:val="1F5FA8"/>
            <w:sz w:val="20"/>
          </w:rPr>
          <w:t>Tables S1</w:t>
        </w:r>
      </w:hyperlink>
      <w:r>
        <w:rPr>
          <w:b/>
          <w:i w:val="0"/>
          <w:sz w:val="20"/>
        </w:rPr>
        <w:t xml:space="preserve"> and </w:t>
      </w:r>
      <w:hyperlink w:anchor="tab_S3" w:history="1">
        <w:r>
          <w:rPr>
            <w:b/>
            <w:i w:val="0"/>
            <w:color w:val="1F5FA8"/>
            <w:sz w:val="20"/>
          </w:rPr>
          <w:t>S3</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031212"/>
            <wp:docPr id="5" name="Picture 5"/>
            <wp:cNvGraphicFramePr>
              <a:graphicFrameLocks noChangeAspect="1"/>
            </wp:cNvGraphicFramePr>
            <a:graphic>
              <a:graphicData uri="http://schemas.openxmlformats.org/drawingml/2006/picture">
                <pic:pic>
                  <pic:nvPicPr>
                    <pic:cNvPr id="0" name="Figure5.png"/>
                    <pic:cNvPicPr/>
                  </pic:nvPicPr>
                  <pic:blipFill>
                    <a:blip r:embed="rId14"/>
                    <a:stretch>
                      <a:fillRect/>
                    </a:stretch>
                  </pic:blipFill>
                  <pic:spPr>
                    <a:xfrm>
                      <a:off x="0" y="0"/>
                      <a:ext cx="6264000" cy="4031212"/>
                    </a:xfrm>
                    <a:prstGeom prst="rect"/>
                  </pic:spPr>
                </pic:pic>
              </a:graphicData>
            </a:graphic>
          </wp:inline>
        </w:drawing>
      </w:r>
    </w:p>
    <w:p>
      <w:pPr>
        <w:spacing w:line="240" w:lineRule="auto" w:after="80"/>
        <w:jc w:val="both"/>
      </w:pPr>
      <w:bookmarkStart w:id="6" w:name="fig_5"/>
      <w:bookmarkEnd w:id="6"/>
      <w:hyperlink w:anchor="fig_5" w:history="1">
        <w:r>
          <w:rPr>
            <w:b/>
            <w:i w:val="0"/>
            <w:color w:val="1F5FA8"/>
            <w:sz w:val="20"/>
          </w:rPr>
          <w:t>Figure 5</w:t>
        </w:r>
      </w:hyperlink>
      <w:r>
        <w:rPr>
          <w:b/>
          <w:i w:val="0"/>
          <w:sz w:val="20"/>
        </w:rPr>
        <w:t xml:space="preserve">. Matched Sanger and nanopore libraries yield similar mutation profiles. </w:t>
      </w:r>
      <w:r>
        <w:rPr>
          <w:b w:val="0"/>
          <w:i w:val="0"/>
          <w:sz w:val="20"/>
        </w:rPr>
        <w:t>Matched 529-bp data from three Wt and three AID-null mice</w:t>
      </w:r>
      <w:hyperlink w:anchor="ref_34" w:history="1">
        <w:r>
          <w:rPr>
            <w:i w:val="0"/>
            <w:color w:val="1F5FA8"/>
            <w:sz w:val="20"/>
            <w:vertAlign w:val="superscript"/>
          </w:rPr>
          <w:t>34</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Unique-variant densities within each platform: distinct Q≥20 changes among 26–40 clones per Wt mouse (Sanger) and control-calibrated calls among 500 reads (nanopore). Bars, geometric means; p, log-Welch; nanopore zeros at one event. </w:t>
      </w:r>
      <w:r>
        <w:rPr>
          <w:b w:val="0"/>
          <w:i w:val="0"/>
          <w:sz w:val="20"/>
        </w:rPr>
        <w:t>(</w:t>
      </w:r>
      <w:r>
        <w:rPr>
          <w:b/>
          <w:i w:val="0"/>
          <w:sz w:val="20"/>
        </w:rPr>
        <w:t>B</w:t>
      </w:r>
      <w:r>
        <w:rPr>
          <w:b w:val="0"/>
          <w:i w:val="0"/>
          <w:sz w:val="20"/>
        </w:rPr>
        <w:t>)</w:t>
      </w:r>
      <w:r>
        <w:rPr>
          <w:b w:val="0"/>
          <w:i w:val="0"/>
          <w:sz w:val="20"/>
        </w:rPr>
        <w:t xml:space="preserve"> Pooled shares of the twelve substitution types; dashed line, identity. The correlation describes similarity of pattern, not interchangeable values. </w:t>
      </w:r>
      <w:r>
        <w:rPr>
          <w:b w:val="0"/>
          <w:i w:val="0"/>
          <w:sz w:val="20"/>
        </w:rPr>
        <w:t>(</w:t>
      </w:r>
      <w:r>
        <w:rPr>
          <w:b/>
          <w:i w:val="0"/>
          <w:sz w:val="20"/>
        </w:rPr>
        <w:t>C</w:t>
      </w:r>
      <w:r>
        <w:rPr>
          <w:b w:val="0"/>
          <w:i w:val="0"/>
          <w:sz w:val="20"/>
        </w:rPr>
        <w:t>)</w:t>
      </w:r>
      <w:r>
        <w:rPr>
          <w:b w:val="0"/>
          <w:i w:val="0"/>
          <w:sz w:val="20"/>
        </w:rPr>
        <w:t xml:space="preserve"> Four classes by mouse. </w:t>
      </w:r>
      <w:r>
        <w:rPr>
          <w:b w:val="0"/>
          <w:i w:val="0"/>
          <w:sz w:val="20"/>
        </w:rPr>
        <w:t>(</w:t>
      </w:r>
      <w:r>
        <w:rPr>
          <w:b/>
          <w:i w:val="0"/>
          <w:sz w:val="20"/>
        </w:rPr>
        <w:t>D</w:t>
      </w:r>
      <w:r>
        <w:rPr>
          <w:b w:val="0"/>
          <w:i w:val="0"/>
          <w:sz w:val="20"/>
        </w:rPr>
        <w:t>)</w:t>
      </w:r>
      <w:r>
        <w:rPr>
          <w:b w:val="0"/>
          <w:i w:val="0"/>
          <w:sz w:val="20"/>
        </w:rPr>
        <w:t xml:space="preserve"> Positional shares in 25-bp bins; the final shaded bin is 4 bp. </w:t>
      </w:r>
      <w:r>
        <w:rPr>
          <w:b w:val="0"/>
          <w:i w:val="0"/>
          <w:sz w:val="20"/>
        </w:rPr>
        <w:t>(</w:t>
      </w:r>
      <w:r>
        <w:rPr>
          <w:b/>
          <w:i w:val="0"/>
          <w:sz w:val="20"/>
        </w:rPr>
        <w:t>E</w:t>
      </w:r>
      <w:r>
        <w:rPr>
          <w:b w:val="0"/>
          <w:i w:val="0"/>
          <w:sz w:val="20"/>
        </w:rPr>
        <w:t>)</w:t>
      </w:r>
      <w:r>
        <w:rPr>
          <w:b w:val="0"/>
          <w:i w:val="0"/>
          <w:sz w:val="20"/>
        </w:rPr>
        <w:t xml:space="preserve"> Hotspot use; bars, mouse means; dashed lines, share of eligible positions in each motif. See </w:t>
      </w:r>
      <w:hyperlink w:anchor="fig_S13" w:history="1">
        <w:r>
          <w:rPr>
            <w:b/>
            <w:i w:val="0"/>
            <w:color w:val="1F5FA8"/>
            <w:sz w:val="20"/>
          </w:rPr>
          <w:t>Figures S13</w:t>
        </w:r>
      </w:hyperlink>
      <w:r>
        <w:rPr>
          <w:b/>
          <w:i w:val="0"/>
          <w:sz w:val="20"/>
        </w:rPr>
        <w:t>–</w:t>
      </w:r>
      <w:hyperlink w:anchor="fig_S16" w:history="1">
        <w:r>
          <w:rPr>
            <w:b/>
            <w:i w:val="0"/>
            <w:color w:val="1F5FA8"/>
            <w:sz w:val="20"/>
          </w:rPr>
          <w:t>S16</w:t>
        </w:r>
      </w:hyperlink>
      <w:r>
        <w:rPr>
          <w:b w:val="0"/>
          <w:i w:val="0"/>
          <w:sz w:val="20"/>
        </w:rPr>
        <w:t xml:space="preserve">; </w:t>
      </w:r>
      <w:hyperlink w:anchor="tab_S4" w:history="1">
        <w:r>
          <w:rPr>
            <w:b/>
            <w:i w:val="0"/>
            <w:color w:val="1F5FA8"/>
            <w:sz w:val="20"/>
          </w:rPr>
          <w:t>Tables S4</w:t>
        </w:r>
      </w:hyperlink>
      <w:r>
        <w:rPr>
          <w:b/>
          <w:i w:val="0"/>
          <w:sz w:val="20"/>
        </w:rPr>
        <w:t xml:space="preserve"> and </w:t>
      </w:r>
      <w:hyperlink w:anchor="tab_S5" w:history="1">
        <w:r>
          <w:rPr>
            <w:b/>
            <w:i w:val="0"/>
            <w:color w:val="1F5FA8"/>
            <w:sz w:val="20"/>
          </w:rPr>
          <w:t>S5</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823737"/>
            <wp:docPr id="6" name="Picture 6"/>
            <wp:cNvGraphicFramePr>
              <a:graphicFrameLocks noChangeAspect="1"/>
            </wp:cNvGraphicFramePr>
            <a:graphic>
              <a:graphicData uri="http://schemas.openxmlformats.org/drawingml/2006/picture">
                <pic:pic>
                  <pic:nvPicPr>
                    <pic:cNvPr id="0" name="Figure6.png"/>
                    <pic:cNvPicPr/>
                  </pic:nvPicPr>
                  <pic:blipFill>
                    <a:blip r:embed="rId15"/>
                    <a:stretch>
                      <a:fillRect/>
                    </a:stretch>
                  </pic:blipFill>
                  <pic:spPr>
                    <a:xfrm>
                      <a:off x="0" y="0"/>
                      <a:ext cx="6264000" cy="4823737"/>
                    </a:xfrm>
                    <a:prstGeom prst="rect"/>
                  </pic:spPr>
                </pic:pic>
              </a:graphicData>
            </a:graphic>
          </wp:inline>
        </w:drawing>
      </w:r>
    </w:p>
    <w:p>
      <w:pPr>
        <w:spacing w:line="240" w:lineRule="auto" w:after="80"/>
        <w:jc w:val="both"/>
      </w:pPr>
      <w:bookmarkStart w:id="7" w:name="fig_6"/>
      <w:bookmarkEnd w:id="7"/>
      <w:hyperlink w:anchor="fig_6" w:history="1">
        <w:r>
          <w:rPr>
            <w:b/>
            <w:i w:val="0"/>
            <w:color w:val="1F5FA8"/>
            <w:sz w:val="20"/>
          </w:rPr>
          <w:t>Figure 6</w:t>
        </w:r>
      </w:hyperlink>
      <w:r>
        <w:rPr>
          <w:b/>
          <w:i w:val="0"/>
          <w:sz w:val="20"/>
        </w:rPr>
        <w:t xml:space="preserve">. Long reads retain positional profiles and linked mutation patterns. </w:t>
      </w:r>
      <w:r>
        <w:rPr>
          <w:b w:val="0"/>
          <w:i w:val="0"/>
          <w:sz w:val="20"/>
        </w:rPr>
        <w:t xml:space="preserve">Libraries as in </w:t>
      </w:r>
      <w:hyperlink w:anchor="fig_5" w:history="1">
        <w:r>
          <w:rPr>
            <w:b/>
            <w:i w:val="0"/>
            <w:color w:val="1F5FA8"/>
            <w:sz w:val="20"/>
          </w:rPr>
          <w:t>Figure 5</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4 variants per 10</w:t>
      </w:r>
      <w:r>
        <w:rPr>
          <w:i w:val="0"/>
          <w:sz w:val="20"/>
          <w:vertAlign w:val="superscript"/>
        </w:rPr>
        <w:t>5</w:t>
      </w:r>
      <w:r>
        <w:rPr>
          <w:b w:val="0"/>
          <w:i w:val="0"/>
          <w:sz w:val="20"/>
        </w:rPr>
        <w:t xml:space="preserve"> bases in 50-bp bins across positions 90–1,230. </w:t>
      </w:r>
      <w:r>
        <w:rPr>
          <w:b w:val="0"/>
          <w:i w:val="0"/>
          <w:sz w:val="20"/>
        </w:rPr>
        <w:t>(</w:t>
      </w:r>
      <w:r>
        <w:rPr>
          <w:b/>
          <w:i w:val="0"/>
          <w:sz w:val="20"/>
        </w:rPr>
        <w:t>B</w:t>
      </w:r>
      <w:r>
        <w:rPr>
          <w:b w:val="0"/>
          <w:i w:val="0"/>
          <w:sz w:val="20"/>
        </w:rPr>
        <w:t>)</w:t>
      </w:r>
      <w:r>
        <w:rPr>
          <w:b w:val="0"/>
          <w:i w:val="0"/>
          <w:sz w:val="20"/>
        </w:rPr>
        <w:t xml:space="preserve"> Calls per position by S5F mutability quintile, relative to each series' mean, for Wt calls and germline-excluded null mismatches. </w:t>
      </w:r>
      <w:r>
        <w:rPr>
          <w:b w:val="0"/>
          <w:i w:val="0"/>
          <w:sz w:val="20"/>
        </w:rPr>
        <w:t>(</w:t>
      </w:r>
      <w:r>
        <w:rPr>
          <w:b/>
          <w:i w:val="0"/>
          <w:sz w:val="20"/>
        </w:rPr>
        <w:t>C</w:t>
      </w:r>
      <w:r>
        <w:rPr>
          <w:b w:val="0"/>
          <w:i w:val="0"/>
          <w:sz w:val="20"/>
        </w:rPr>
        <w:t>)</w:t>
      </w:r>
      <w:r>
        <w:rPr>
          <w:b w:val="0"/>
          <w:i w:val="0"/>
          <w:sz w:val="20"/>
        </w:rPr>
        <w:t xml:space="preserve"> Junction-defined clones among 500 reads per mouse, with read- and clone-weighted frequency alongside. </w:t>
      </w:r>
      <w:r>
        <w:rPr>
          <w:b w:val="0"/>
          <w:i w:val="0"/>
          <w:sz w:val="20"/>
        </w:rPr>
        <w:t>(</w:t>
      </w:r>
      <w:r>
        <w:rPr>
          <w:b/>
          <w:i w:val="0"/>
          <w:sz w:val="20"/>
        </w:rPr>
        <w:t>D</w:t>
      </w:r>
      <w:r>
        <w:rPr>
          <w:b w:val="0"/>
          <w:i w:val="0"/>
          <w:sz w:val="20"/>
        </w:rPr>
        <w:t>)</w:t>
      </w:r>
      <w:r>
        <w:rPr>
          <w:b w:val="0"/>
          <w:i w:val="0"/>
          <w:sz w:val="20"/>
        </w:rPr>
        <w:t xml:space="preserve"> The largest Wt3 clone. Of 69 reads, 48 fit one path and 21 carry mutations of two branches. See </w:t>
      </w:r>
      <w:hyperlink w:anchor="fig_S17" w:history="1">
        <w:r>
          <w:rPr>
            <w:b/>
            <w:i w:val="0"/>
            <w:color w:val="1F5FA8"/>
            <w:sz w:val="20"/>
          </w:rPr>
          <w:t>Figure S17</w:t>
        </w:r>
      </w:hyperlink>
      <w:r>
        <w:rPr>
          <w:b w:val="0"/>
          <w:i w:val="0"/>
          <w:sz w:val="20"/>
        </w:rPr>
        <w:t>.</w:t>
      </w:r>
    </w:p>
    <w:p>
      <w:pPr>
        <w:keepNext/>
        <w:pageBreakBefore/>
        <w:spacing w:after="100"/>
        <w:jc w:val="center"/>
      </w:pPr>
      <w:r>
        <w:drawing>
          <wp:inline xmlns:a="http://schemas.openxmlformats.org/drawingml/2006/main" xmlns:pic="http://schemas.openxmlformats.org/drawingml/2006/picture">
            <wp:extent cx="6264000" cy="4464053"/>
            <wp:docPr id="7" name="Picture 7"/>
            <wp:cNvGraphicFramePr>
              <a:graphicFrameLocks noChangeAspect="1"/>
            </wp:cNvGraphicFramePr>
            <a:graphic>
              <a:graphicData uri="http://schemas.openxmlformats.org/drawingml/2006/picture">
                <pic:pic>
                  <pic:nvPicPr>
                    <pic:cNvPr id="0" name="Figure7.png"/>
                    <pic:cNvPicPr/>
                  </pic:nvPicPr>
                  <pic:blipFill>
                    <a:blip r:embed="rId16"/>
                    <a:stretch>
                      <a:fillRect/>
                    </a:stretch>
                  </pic:blipFill>
                  <pic:spPr>
                    <a:xfrm>
                      <a:off x="0" y="0"/>
                      <a:ext cx="6264000" cy="4464053"/>
                    </a:xfrm>
                    <a:prstGeom prst="rect"/>
                  </pic:spPr>
                </pic:pic>
              </a:graphicData>
            </a:graphic>
          </wp:inline>
        </w:drawing>
      </w:r>
    </w:p>
    <w:p>
      <w:pPr>
        <w:spacing w:line="240" w:lineRule="auto" w:after="80"/>
        <w:jc w:val="both"/>
      </w:pPr>
      <w:bookmarkStart w:id="8" w:name="fig_7"/>
      <w:bookmarkEnd w:id="8"/>
      <w:hyperlink w:anchor="fig_7" w:history="1">
        <w:r>
          <w:rPr>
            <w:b/>
            <w:i w:val="0"/>
            <w:color w:val="1F5FA8"/>
            <w:sz w:val="20"/>
          </w:rPr>
          <w:t>Figure 7</w:t>
        </w:r>
      </w:hyperlink>
      <w:r>
        <w:rPr>
          <w:b/>
          <w:i w:val="0"/>
          <w:sz w:val="20"/>
        </w:rPr>
        <w:t xml:space="preserve">. Public Illumina datasets test analysis across biological contexts. </w:t>
      </w:r>
      <w:r>
        <w:rPr>
          <w:b w:val="0"/>
          <w:i w:val="0"/>
          <w:sz w:val="20"/>
        </w:rPr>
        <w:t>(</w:t>
      </w:r>
      <w:r>
        <w:rPr>
          <w:b/>
          <w:i w:val="0"/>
          <w:sz w:val="20"/>
        </w:rPr>
        <w:t>A</w:t>
      </w:r>
      <w:r>
        <w:rPr>
          <w:b w:val="0"/>
          <w:i w:val="0"/>
          <w:sz w:val="20"/>
        </w:rPr>
        <w:t>)</w:t>
      </w:r>
      <w:r>
        <w:rPr>
          <w:b w:val="0"/>
          <w:i w:val="0"/>
          <w:sz w:val="20"/>
        </w:rPr>
        <w:t xml:space="preserve"> J</w:t>
      </w:r>
      <w:r>
        <w:rPr>
          <w:i w:val="0"/>
          <w:sz w:val="20"/>
          <w:vertAlign w:val="subscript"/>
        </w:rPr>
        <w:t>H</w:t>
      </w:r>
      <w:r>
        <w:rPr>
          <w:b w:val="0"/>
          <w:i w:val="0"/>
          <w:sz w:val="20"/>
        </w:rPr>
        <w:t xml:space="preserve">4 mutation frequency in Illumina data (PRJNA973112); points, mice; strip below the break, no call; bars, geometric means with zeros at one event. Tests: log-Welch versus AID-null; Mann–Whitney for </w:t>
      </w:r>
      <w:r>
        <w:rPr>
          <w:i/>
          <w:sz w:val="20"/>
        </w:rPr>
        <w:t>Ldha</w:t>
      </w:r>
      <w:r>
        <w:rPr>
          <w:b w:val="0"/>
          <w:i w:val="0"/>
          <w:sz w:val="20"/>
        </w:rPr>
        <w:t xml:space="preserve"> versus Wt. </w:t>
      </w:r>
      <w:r>
        <w:rPr>
          <w:b w:val="0"/>
          <w:i w:val="0"/>
          <w:sz w:val="20"/>
        </w:rPr>
        <w:t>(</w:t>
      </w:r>
      <w:r>
        <w:rPr>
          <w:b/>
          <w:i w:val="0"/>
          <w:sz w:val="20"/>
        </w:rPr>
        <w:t>B</w:t>
      </w:r>
      <w:r>
        <w:rPr>
          <w:b w:val="0"/>
          <w:i w:val="0"/>
          <w:sz w:val="20"/>
        </w:rPr>
        <w:t>)</w:t>
      </w:r>
      <w:r>
        <w:rPr>
          <w:b w:val="0"/>
          <w:i w:val="0"/>
          <w:sz w:val="20"/>
        </w:rPr>
        <w:t xml:space="preserve"> </w:t>
      </w:r>
      <w:r>
        <w:rPr>
          <w:i/>
          <w:sz w:val="20"/>
        </w:rPr>
        <w:t>Aicda</w:t>
      </w:r>
      <w:r>
        <w:rPr>
          <w:i w:val="0"/>
          <w:sz w:val="20"/>
          <w:vertAlign w:val="superscript"/>
        </w:rPr>
        <w:t>−/−</w:t>
      </w:r>
      <w:r>
        <w:rPr>
          <w:i/>
          <w:sz w:val="20"/>
        </w:rPr>
        <w:t>Ung</w:t>
      </w:r>
      <w:r>
        <w:rPr>
          <w:i w:val="0"/>
          <w:sz w:val="20"/>
          <w:vertAlign w:val="superscript"/>
        </w:rPr>
        <w:t>−/−</w:t>
      </w:r>
      <w:r>
        <w:rPr>
          <w:i/>
          <w:sz w:val="20"/>
        </w:rPr>
        <w:t>Msh2</w:t>
      </w:r>
      <w:r>
        <w:rPr>
          <w:i w:val="0"/>
          <w:sz w:val="20"/>
          <w:vertAlign w:val="superscript"/>
        </w:rPr>
        <w:t>−/−</w:t>
      </w:r>
      <w:r>
        <w:rPr>
          <w:b w:val="0"/>
          <w:i w:val="0"/>
          <w:sz w:val="20"/>
        </w:rPr>
        <w:t xml:space="preserve"> CH12F3 cells expressing AID variants or empty vector (PRJNA918596; n = 4 per arm). </w:t>
      </w:r>
      <w:r>
        <w:rPr>
          <w:b w:val="0"/>
          <w:i w:val="0"/>
          <w:sz w:val="20"/>
        </w:rPr>
        <w:t>(</w:t>
      </w:r>
      <w:r>
        <w:rPr>
          <w:b/>
          <w:i w:val="0"/>
          <w:sz w:val="20"/>
        </w:rPr>
        <w:t>C</w:t>
      </w:r>
      <w:r>
        <w:rPr>
          <w:b w:val="0"/>
          <w:i w:val="0"/>
          <w:sz w:val="20"/>
        </w:rPr>
        <w:t>)</w:t>
      </w:r>
      <w:r>
        <w:rPr>
          <w:b w:val="0"/>
          <w:i w:val="0"/>
          <w:sz w:val="20"/>
        </w:rPr>
        <w:t xml:space="preserve"> Substitution classes of each arm's pooled calls. </w:t>
      </w:r>
      <w:r>
        <w:rPr>
          <w:b w:val="0"/>
          <w:i w:val="0"/>
          <w:sz w:val="20"/>
        </w:rPr>
        <w:t>(</w:t>
      </w:r>
      <w:r>
        <w:rPr>
          <w:b/>
          <w:i w:val="0"/>
          <w:sz w:val="20"/>
        </w:rPr>
        <w:t>D</w:t>
      </w:r>
      <w:r>
        <w:rPr>
          <w:b w:val="0"/>
          <w:i w:val="0"/>
          <w:sz w:val="20"/>
        </w:rPr>
        <w:t>)</w:t>
      </w:r>
      <w:r>
        <w:rPr>
          <w:b w:val="0"/>
          <w:i w:val="0"/>
          <w:sz w:val="20"/>
        </w:rPr>
        <w:t xml:space="preserve"> Ramos indels per clone at 20,000 reads (PRJNA820976); bars, means. </w:t>
      </w:r>
      <w:r>
        <w:rPr>
          <w:b w:val="0"/>
          <w:i w:val="0"/>
          <w:sz w:val="20"/>
        </w:rPr>
        <w:t>(</w:t>
      </w:r>
      <w:r>
        <w:rPr>
          <w:b/>
          <w:i w:val="0"/>
          <w:sz w:val="20"/>
        </w:rPr>
        <w:t>E</w:t>
      </w:r>
      <w:r>
        <w:rPr>
          <w:b w:val="0"/>
          <w:i w:val="0"/>
          <w:sz w:val="20"/>
        </w:rPr>
        <w:t>)</w:t>
      </w:r>
      <w:r>
        <w:rPr>
          <w:b w:val="0"/>
          <w:i w:val="0"/>
          <w:sz w:val="20"/>
        </w:rPr>
        <w:t xml:space="preserve"> mOrange repair arms (PRJNA170048). See </w:t>
      </w:r>
      <w:hyperlink w:anchor="tab_S1" w:history="1">
        <w:r>
          <w:rPr>
            <w:b/>
            <w:i w:val="0"/>
            <w:color w:val="1F5FA8"/>
            <w:sz w:val="20"/>
          </w:rPr>
          <w:t>Table S1</w:t>
        </w:r>
      </w:hyperlink>
      <w:r>
        <w:rPr>
          <w:b w:val="0"/>
          <w:i w:val="0"/>
          <w:sz w:val="20"/>
        </w:rPr>
        <w:t>.</w:t>
      </w:r>
    </w:p>
    <w:p>
      <w:pPr>
        <w:keepNext/>
        <w:pageBreakBefore/>
        <w:spacing w:before="240"/>
      </w:pPr>
      <w:r>
        <w:rPr>
          <w:b/>
          <w:i w:val="0"/>
          <w:sz w:val="26"/>
        </w:rPr>
        <w:t>STAR★Methods</w:t>
      </w:r>
    </w:p>
    <w:p>
      <w:pPr>
        <w:keepNext/>
        <w:spacing w:before="160"/>
      </w:pPr>
      <w:r>
        <w:rPr>
          <w:b/>
          <w:i w:val="0"/>
          <w:sz w:val="23"/>
        </w:rPr>
        <w:t>Key resources table</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4352"/>
          </w:tcPr>
          <w:p>
            <w:pPr>
              <w:spacing w:after="0"/>
            </w:pPr>
            <w:r>
              <w:rPr>
                <w:b/>
                <w:i w:val="0"/>
                <w:sz w:val="16"/>
              </w:rPr>
              <w:t>REAGENT or RESOURCE</w:t>
            </w:r>
          </w:p>
        </w:tc>
        <w:tc>
          <w:tcPr>
            <w:tcW w:type="dxa" w:w="2901"/>
          </w:tcPr>
          <w:p>
            <w:pPr>
              <w:spacing w:after="0"/>
            </w:pPr>
            <w:r>
              <w:rPr>
                <w:b/>
                <w:i w:val="0"/>
                <w:sz w:val="16"/>
              </w:rPr>
              <w:t>SOURCE</w:t>
            </w:r>
          </w:p>
        </w:tc>
        <w:tc>
          <w:tcPr>
            <w:tcW w:type="dxa" w:w="2611"/>
          </w:tcPr>
          <w:p>
            <w:pPr>
              <w:spacing w:after="0"/>
            </w:pPr>
            <w:r>
              <w:rPr>
                <w:b/>
                <w:i w:val="0"/>
                <w:sz w:val="16"/>
              </w:rPr>
              <w:t>IDENTIFIER</w:t>
            </w:r>
          </w:p>
        </w:tc>
      </w:tr>
      <w:tr>
        <w:tc>
          <w:tcPr>
            <w:tcW w:type="dxa" w:w="4352"/>
          </w:tcPr>
          <w:p>
            <w:pPr>
              <w:spacing w:after="0" w:line="240" w:lineRule="auto"/>
            </w:pPr>
            <w:r>
              <w:rPr>
                <w:b/>
                <w:i w:val="0"/>
                <w:sz w:val="16"/>
              </w:rPr>
              <w:t>Antibodies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Anti-mouse B220 (CD45R)–FITC, clone RA3-6B2</w:t>
            </w:r>
          </w:p>
        </w:tc>
        <w:tc>
          <w:tcPr>
            <w:tcW w:type="dxa" w:w="2901"/>
          </w:tcPr>
          <w:p>
            <w:pPr>
              <w:spacing w:after="0" w:line="240" w:lineRule="auto"/>
            </w:pPr>
            <w:r>
              <w:rPr>
                <w:b w:val="0"/>
                <w:i w:val="0"/>
                <w:sz w:val="16"/>
              </w:rPr>
              <w:t>SouthernBiotech</w:t>
            </w:r>
          </w:p>
        </w:tc>
        <w:tc>
          <w:tcPr>
            <w:tcW w:type="dxa" w:w="2611"/>
          </w:tcPr>
          <w:p>
            <w:pPr>
              <w:spacing w:after="0" w:line="240" w:lineRule="auto"/>
            </w:pPr>
            <w:r>
              <w:rPr>
                <w:b w:val="0"/>
                <w:i w:val="0"/>
                <w:sz w:val="16"/>
              </w:rPr>
              <w:t>Cat# 1665-02; RRID: AB_2795114</w:t>
            </w:r>
          </w:p>
        </w:tc>
      </w:tr>
      <w:tr>
        <w:tc>
          <w:tcPr>
            <w:tcW w:type="dxa" w:w="4352"/>
          </w:tcPr>
          <w:p>
            <w:pPr>
              <w:spacing w:after="0" w:line="240" w:lineRule="auto"/>
            </w:pPr>
            <w:r>
              <w:rPr>
                <w:b w:val="0"/>
                <w:i w:val="0"/>
                <w:sz w:val="16"/>
              </w:rPr>
              <w:t>Anti-mouse GL7–eFluor 660, clone GL7</w:t>
            </w:r>
          </w:p>
        </w:tc>
        <w:tc>
          <w:tcPr>
            <w:tcW w:type="dxa" w:w="2901"/>
          </w:tcPr>
          <w:p>
            <w:pPr>
              <w:spacing w:after="0" w:line="240" w:lineRule="auto"/>
            </w:pPr>
            <w:r>
              <w:rPr>
                <w:b w:val="0"/>
                <w:i w:val="0"/>
                <w:sz w:val="16"/>
              </w:rPr>
              <w:t>Thermo Fisher Scientific (eBioscience)</w:t>
            </w:r>
          </w:p>
        </w:tc>
        <w:tc>
          <w:tcPr>
            <w:tcW w:type="dxa" w:w="2611"/>
          </w:tcPr>
          <w:p>
            <w:pPr>
              <w:spacing w:after="0" w:line="240" w:lineRule="auto"/>
            </w:pPr>
            <w:r>
              <w:rPr>
                <w:b w:val="0"/>
                <w:i w:val="0"/>
                <w:sz w:val="16"/>
              </w:rPr>
              <w:t>Cat# 50-5902-82; RRID: [to confirm]</w:t>
            </w:r>
          </w:p>
        </w:tc>
      </w:tr>
      <w:tr>
        <w:tc>
          <w:tcPr>
            <w:tcW w:type="dxa" w:w="4352"/>
          </w:tcPr>
          <w:p>
            <w:pPr>
              <w:spacing w:after="0" w:line="240" w:lineRule="auto"/>
            </w:pPr>
            <w:r>
              <w:rPr>
                <w:b w:val="0"/>
                <w:i w:val="0"/>
                <w:sz w:val="16"/>
              </w:rPr>
              <w:t>Anti-mouse Fas (CD95)–BV421, clone Jo2</w:t>
            </w:r>
          </w:p>
        </w:tc>
        <w:tc>
          <w:tcPr>
            <w:tcW w:type="dxa" w:w="2901"/>
          </w:tcPr>
          <w:p>
            <w:pPr>
              <w:spacing w:after="0" w:line="240" w:lineRule="auto"/>
            </w:pPr>
            <w:r>
              <w:rPr>
                <w:b w:val="0"/>
                <w:i w:val="0"/>
                <w:sz w:val="16"/>
              </w:rPr>
              <w:t>BD Biosciences</w:t>
            </w:r>
          </w:p>
        </w:tc>
        <w:tc>
          <w:tcPr>
            <w:tcW w:type="dxa" w:w="2611"/>
          </w:tcPr>
          <w:p>
            <w:pPr>
              <w:spacing w:after="0" w:line="240" w:lineRule="auto"/>
            </w:pPr>
            <w:r>
              <w:rPr>
                <w:b w:val="0"/>
                <w:i w:val="0"/>
                <w:sz w:val="16"/>
              </w:rPr>
              <w:t>Cat# 562633; RRID: AB_2737690</w:t>
            </w:r>
          </w:p>
        </w:tc>
      </w:tr>
      <w:tr>
        <w:tc>
          <w:tcPr>
            <w:tcW w:type="dxa" w:w="4352"/>
          </w:tcPr>
          <w:p>
            <w:pPr>
              <w:spacing w:after="0" w:line="240" w:lineRule="auto"/>
            </w:pPr>
            <w:r>
              <w:rPr>
                <w:b/>
                <w:i w:val="0"/>
                <w:sz w:val="16"/>
              </w:rPr>
              <w:t>Chemicals, peptides, and recombinant proteins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Platinum SuperFi II PCR Master Mix</w:t>
            </w:r>
          </w:p>
        </w:tc>
        <w:tc>
          <w:tcPr>
            <w:tcW w:type="dxa" w:w="2901"/>
          </w:tcPr>
          <w:p>
            <w:pPr>
              <w:spacing w:after="0" w:line="240" w:lineRule="auto"/>
            </w:pPr>
            <w:r>
              <w:rPr>
                <w:b w:val="0"/>
                <w:i w:val="0"/>
                <w:sz w:val="16"/>
              </w:rPr>
              <w:t>Thermo Fisher Scientific</w:t>
            </w:r>
          </w:p>
        </w:tc>
        <w:tc>
          <w:tcPr>
            <w:tcW w:type="dxa" w:w="2611"/>
          </w:tcPr>
          <w:p>
            <w:pPr>
              <w:spacing w:after="0" w:line="240" w:lineRule="auto"/>
            </w:pPr>
            <w:r>
              <w:rPr>
                <w:b w:val="0"/>
                <w:i w:val="0"/>
                <w:sz w:val="16"/>
              </w:rPr>
              <w:t>12368010</w:t>
            </w:r>
          </w:p>
        </w:tc>
      </w:tr>
      <w:tr>
        <w:tc>
          <w:tcPr>
            <w:tcW w:type="dxa" w:w="4352"/>
          </w:tcPr>
          <w:p>
            <w:pPr>
              <w:spacing w:after="0" w:line="240" w:lineRule="auto"/>
            </w:pPr>
            <w:r>
              <w:rPr>
                <w:b w:val="0"/>
                <w:i w:val="0"/>
                <w:sz w:val="16"/>
              </w:rPr>
              <w:t>Proteinase K</w:t>
            </w:r>
          </w:p>
        </w:tc>
        <w:tc>
          <w:tcPr>
            <w:tcW w:type="dxa" w:w="2901"/>
          </w:tcPr>
          <w:p>
            <w:pPr>
              <w:spacing w:after="0" w:line="240" w:lineRule="auto"/>
            </w:pPr>
            <w:r>
              <w:rPr>
                <w:b w:val="0"/>
                <w:i w:val="0"/>
                <w:sz w:val="16"/>
              </w:rPr>
              <w:t>Invitrogen (Thermo Fisher Scientific)</w:t>
            </w:r>
          </w:p>
        </w:tc>
        <w:tc>
          <w:tcPr>
            <w:tcW w:type="dxa" w:w="2611"/>
          </w:tcPr>
          <w:p>
            <w:pPr>
              <w:spacing w:after="0" w:line="240" w:lineRule="auto"/>
            </w:pPr>
            <w:r>
              <w:rPr>
                <w:b w:val="0"/>
                <w:i w:val="0"/>
                <w:sz w:val="16"/>
              </w:rPr>
              <w:t>[proteinase K Cat#]</w:t>
            </w:r>
          </w:p>
        </w:tc>
      </w:tr>
      <w:tr>
        <w:tc>
          <w:tcPr>
            <w:tcW w:type="dxa" w:w="4352"/>
          </w:tcPr>
          <w:p>
            <w:pPr>
              <w:spacing w:after="0" w:line="240" w:lineRule="auto"/>
            </w:pPr>
            <w:r>
              <w:rPr>
                <w:b/>
                <w:i w:val="0"/>
                <w:sz w:val="16"/>
              </w:rPr>
              <w:t>Critical commercial assays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Monarch PCR &amp; DNA Cleanup Kit</w:t>
            </w:r>
          </w:p>
        </w:tc>
        <w:tc>
          <w:tcPr>
            <w:tcW w:type="dxa" w:w="2901"/>
          </w:tcPr>
          <w:p>
            <w:pPr>
              <w:spacing w:after="0" w:line="240" w:lineRule="auto"/>
            </w:pPr>
            <w:r>
              <w:rPr>
                <w:b w:val="0"/>
                <w:i w:val="0"/>
                <w:sz w:val="16"/>
              </w:rPr>
              <w:t>New England Biolabs</w:t>
            </w:r>
          </w:p>
        </w:tc>
        <w:tc>
          <w:tcPr>
            <w:tcW w:type="dxa" w:w="2611"/>
          </w:tcPr>
          <w:p>
            <w:pPr>
              <w:spacing w:after="0" w:line="240" w:lineRule="auto"/>
            </w:pPr>
            <w:r>
              <w:rPr>
                <w:b w:val="0"/>
                <w:i w:val="0"/>
                <w:sz w:val="16"/>
              </w:rPr>
              <w:t>[Monarch kit Cat#]</w:t>
            </w:r>
          </w:p>
        </w:tc>
      </w:tr>
      <w:tr>
        <w:tc>
          <w:tcPr>
            <w:tcW w:type="dxa" w:w="4352"/>
          </w:tcPr>
          <w:p>
            <w:pPr>
              <w:spacing w:after="0" w:line="240" w:lineRule="auto"/>
            </w:pPr>
            <w:r>
              <w:rPr>
                <w:b w:val="0"/>
                <w:i w:val="0"/>
                <w:sz w:val="16"/>
              </w:rPr>
              <w:t>Premium PCR (full-length amplicon) sequencing, R10.4.1, Kit 14</w:t>
            </w:r>
          </w:p>
        </w:tc>
        <w:tc>
          <w:tcPr>
            <w:tcW w:type="dxa" w:w="2901"/>
          </w:tcPr>
          <w:p>
            <w:pPr>
              <w:spacing w:after="0" w:line="240" w:lineRule="auto"/>
            </w:pPr>
            <w:r>
              <w:rPr>
                <w:b w:val="0"/>
                <w:i w:val="0"/>
                <w:sz w:val="16"/>
              </w:rPr>
              <w:t>Plasmidsaurus</w:t>
            </w:r>
          </w:p>
        </w:tc>
        <w:tc>
          <w:tcPr>
            <w:tcW w:type="dxa" w:w="2611"/>
          </w:tcPr>
          <w:p>
            <w:pPr>
              <w:spacing w:after="0" w:line="240" w:lineRule="auto"/>
            </w:pPr>
            <w:r>
              <w:rPr>
                <w:b w:val="0"/>
                <w:i w:val="0"/>
                <w:sz w:val="16"/>
              </w:rPr>
              <w:t>https://www.plasmidsaurus.com</w:t>
            </w:r>
          </w:p>
        </w:tc>
      </w:tr>
      <w:tr>
        <w:tc>
          <w:tcPr>
            <w:tcW w:type="dxa" w:w="4352"/>
          </w:tcPr>
          <w:p>
            <w:pPr>
              <w:spacing w:after="0" w:line="240" w:lineRule="auto"/>
            </w:pPr>
            <w:r>
              <w:rPr>
                <w:b/>
                <w:i w:val="0"/>
                <w:sz w:val="16"/>
              </w:rPr>
              <w:t>Deposited data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and N114 V</w:t>
            </w:r>
            <w:r>
              <w:rPr>
                <w:i w:val="0"/>
                <w:sz w:val="16"/>
                <w:vertAlign w:val="subscript"/>
              </w:rPr>
              <w:t>H</w:t>
            </w:r>
            <w:r>
              <w:rPr>
                <w:b w:val="0"/>
                <w:i w:val="0"/>
                <w:sz w:val="16"/>
              </w:rPr>
              <w:t xml:space="preserve"> nanopore reads, Sanger chromatograms and SHMtrace outputs</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[SRA BioProject]; [data deposit DOI]</w:t>
            </w:r>
          </w:p>
        </w:tc>
      </w:tr>
      <w:tr>
        <w:tc>
          <w:tcPr>
            <w:tcW w:type="dxa" w:w="4352"/>
          </w:tcPr>
          <w:p>
            <w:pPr>
              <w:spacing w:after="0" w:line="240" w:lineRule="auto"/>
            </w:pPr>
            <w:r>
              <w:rPr>
                <w:b w:val="0"/>
                <w:i w:val="0"/>
                <w:sz w:val="16"/>
              </w:rPr>
              <w:t>J</w:t>
            </w:r>
            <w:r>
              <w:rPr>
                <w:i w:val="0"/>
                <w:sz w:val="16"/>
                <w:vertAlign w:val="subscript"/>
              </w:rPr>
              <w:t>H</w:t>
            </w:r>
            <w:r>
              <w:rPr>
                <w:b w:val="0"/>
                <w:i w:val="0"/>
                <w:sz w:val="16"/>
              </w:rPr>
              <w:t xml:space="preserve">4 Sanger chromatograms, </w:t>
            </w:r>
            <w:r>
              <w:rPr>
                <w:i/>
                <w:sz w:val="16"/>
              </w:rPr>
              <w:t>Maea</w:t>
            </w:r>
            <w:r>
              <w:rPr>
                <w:i w:val="0"/>
                <w:sz w:val="16"/>
                <w:vertAlign w:val="superscript"/>
              </w:rPr>
              <w:t>fl/fl</w:t>
            </w:r>
            <w:r>
              <w:rPr>
                <w:i/>
                <w:sz w:val="16"/>
              </w:rPr>
              <w:t>Mb1</w:t>
            </w:r>
            <w:r>
              <w:rPr>
                <w:i w:val="0"/>
                <w:sz w:val="16"/>
                <w:vertAlign w:val="superscript"/>
              </w:rPr>
              <w:t>cre</w:t>
            </w:r>
            <w:r>
              <w:rPr>
                <w:b w:val="0"/>
                <w:i w:val="0"/>
                <w:sz w:val="16"/>
              </w:rPr>
              <w:t xml:space="preserve"> study (cohort 2)</w:t>
            </w:r>
          </w:p>
        </w:tc>
        <w:tc>
          <w:tcPr>
            <w:tcW w:type="dxa" w:w="2901"/>
          </w:tcPr>
          <w:p>
            <w:pPr>
              <w:spacing w:after="0" w:line="240" w:lineRule="auto"/>
            </w:pPr>
            <w:r>
              <w:rPr>
                <w:b w:val="0"/>
                <w:i w:val="0"/>
                <w:sz w:val="16"/>
              </w:rPr>
              <w:t>Barbulescu et al.</w:t>
            </w:r>
            <w:hyperlink w:anchor="ref_33" w:history="1">
              <w:r>
                <w:rPr>
                  <w:i w:val="0"/>
                  <w:color w:val="1F5FA8"/>
                  <w:sz w:val="16"/>
                  <w:vertAlign w:val="superscript"/>
                </w:rPr>
                <w:t>33</w:t>
              </w:r>
            </w:hyperlink>
            <w:r>
              <w:rPr>
                <w:b w:val="0"/>
                <w:i w:val="0"/>
                <w:sz w:val="16"/>
              </w:rPr>
              <w:t>; this paper</w:t>
            </w:r>
          </w:p>
        </w:tc>
        <w:tc>
          <w:tcPr>
            <w:tcW w:type="dxa" w:w="2611"/>
          </w:tcPr>
          <w:p>
            <w:pPr>
              <w:spacing w:after="0" w:line="240" w:lineRule="auto"/>
            </w:pPr>
            <w:r>
              <w:rPr>
                <w:b w:val="0"/>
                <w:i w:val="0"/>
                <w:sz w:val="16"/>
              </w:rPr>
              <w:t>[data deposit DOI]</w:t>
            </w:r>
          </w:p>
        </w:tc>
      </w:tr>
      <w:tr>
        <w:tc>
          <w:tcPr>
            <w:tcW w:type="dxa" w:w="4352"/>
          </w:tcPr>
          <w:p>
            <w:pPr>
              <w:spacing w:after="0" w:line="240" w:lineRule="auto"/>
            </w:pPr>
            <w:r>
              <w:rPr>
                <w:b w:val="0"/>
                <w:i w:val="0"/>
                <w:sz w:val="16"/>
              </w:rPr>
              <w:t xml:space="preserve">Nanopore amplicons, Sμ and </w:t>
            </w:r>
            <w:r>
              <w:rPr>
                <w:i/>
                <w:sz w:val="16"/>
              </w:rPr>
              <w:t>Pim1</w:t>
            </w:r>
            <w:r>
              <w:rPr>
                <w:b w:val="0"/>
                <w:i w:val="0"/>
                <w:sz w:val="16"/>
              </w:rPr>
              <w:t xml:space="preserve">, AID-competent and </w:t>
            </w:r>
            <w:r>
              <w:rPr>
                <w:i/>
                <w:sz w:val="16"/>
              </w:rPr>
              <w:t>Aicda</w:t>
            </w:r>
            <w:r>
              <w:rPr>
                <w:i w:val="0"/>
                <w:sz w:val="16"/>
                <w:vertAlign w:val="superscript"/>
              </w:rPr>
              <w:t>−/−</w:t>
            </w:r>
          </w:p>
        </w:tc>
        <w:tc>
          <w:tcPr>
            <w:tcW w:type="dxa" w:w="2901"/>
          </w:tcPr>
          <w:p>
            <w:pPr>
              <w:spacing w:after="0" w:line="240" w:lineRule="auto"/>
            </w:pPr>
            <w:r>
              <w:rPr>
                <w:b w:val="0"/>
                <w:i w:val="0"/>
                <w:sz w:val="16"/>
              </w:rPr>
              <w:t>NCBI SRA</w:t>
            </w:r>
          </w:p>
        </w:tc>
        <w:tc>
          <w:tcPr>
            <w:tcW w:type="dxa" w:w="2611"/>
          </w:tcPr>
          <w:p>
            <w:pPr>
              <w:spacing w:after="0" w:line="240" w:lineRule="auto"/>
            </w:pPr>
            <w:r>
              <w:rPr>
                <w:b w:val="0"/>
                <w:i w:val="0"/>
                <w:sz w:val="16"/>
              </w:rPr>
              <w:t>BioProject PRJNA1481264</w:t>
            </w:r>
          </w:p>
        </w:tc>
      </w:tr>
      <w:tr>
        <w:tc>
          <w:tcPr>
            <w:tcW w:type="dxa" w:w="4352"/>
          </w:tcPr>
          <w:p>
            <w:pPr>
              <w:spacing w:after="0" w:line="240" w:lineRule="auto"/>
            </w:pPr>
            <w:r>
              <w:rPr>
                <w:b w:val="0"/>
                <w:i w:val="0"/>
                <w:sz w:val="16"/>
              </w:rPr>
              <w:t>Illumina J</w:t>
            </w:r>
            <w:r>
              <w:rPr>
                <w:i w:val="0"/>
                <w:sz w:val="16"/>
                <w:vertAlign w:val="subscript"/>
              </w:rPr>
              <w:t>H</w:t>
            </w:r>
            <w:r>
              <w:rPr>
                <w:b w:val="0"/>
                <w:i w:val="0"/>
                <w:sz w:val="16"/>
              </w:rPr>
              <w:t xml:space="preserve">4, </w:t>
            </w:r>
            <w:r>
              <w:rPr>
                <w:i/>
                <w:sz w:val="16"/>
              </w:rPr>
              <w:t>Ldha</w:t>
            </w:r>
            <w:r>
              <w:rPr>
                <w:b w:val="0"/>
                <w:i w:val="0"/>
                <w:sz w:val="16"/>
              </w:rPr>
              <w:t xml:space="preserve"> study</w:t>
            </w:r>
          </w:p>
        </w:tc>
        <w:tc>
          <w:tcPr>
            <w:tcW w:type="dxa" w:w="2901"/>
          </w:tcPr>
          <w:p>
            <w:pPr>
              <w:spacing w:after="0" w:line="240" w:lineRule="auto"/>
            </w:pPr>
            <w:r>
              <w:rPr>
                <w:b w:val="0"/>
                <w:i w:val="0"/>
                <w:sz w:val="16"/>
              </w:rPr>
              <w:t>Sharma et al.</w:t>
            </w:r>
            <w:hyperlink w:anchor="ref_36" w:history="1">
              <w:r>
                <w:rPr>
                  <w:i w:val="0"/>
                  <w:color w:val="1F5FA8"/>
                  <w:sz w:val="16"/>
                  <w:vertAlign w:val="superscript"/>
                </w:rPr>
                <w:t>36</w:t>
              </w:r>
            </w:hyperlink>
          </w:p>
        </w:tc>
        <w:tc>
          <w:tcPr>
            <w:tcW w:type="dxa" w:w="2611"/>
          </w:tcPr>
          <w:p>
            <w:pPr>
              <w:spacing w:after="0" w:line="240" w:lineRule="auto"/>
            </w:pPr>
            <w:r>
              <w:rPr>
                <w:b w:val="0"/>
                <w:i w:val="0"/>
                <w:sz w:val="16"/>
              </w:rPr>
              <w:t>BioProject PRJNA973112; GEO GSE232658</w:t>
            </w:r>
          </w:p>
        </w:tc>
      </w:tr>
      <w:tr>
        <w:tc>
          <w:tcPr>
            <w:tcW w:type="dxa" w:w="4352"/>
          </w:tcPr>
          <w:p>
            <w:pPr>
              <w:spacing w:after="0" w:line="240" w:lineRule="auto"/>
            </w:pPr>
            <w:r>
              <w:rPr>
                <w:b w:val="0"/>
                <w:i w:val="0"/>
                <w:sz w:val="16"/>
              </w:rPr>
              <w:t>Illumina CH12F3 VDJ, ectopic AID</w:t>
            </w:r>
          </w:p>
        </w:tc>
        <w:tc>
          <w:tcPr>
            <w:tcW w:type="dxa" w:w="2901"/>
          </w:tcPr>
          <w:p>
            <w:pPr>
              <w:spacing w:after="0" w:line="240" w:lineRule="auto"/>
            </w:pPr>
            <w:r>
              <w:rPr>
                <w:b w:val="0"/>
                <w:i w:val="0"/>
                <w:sz w:val="16"/>
              </w:rPr>
              <w:t>Wang et al.</w:t>
            </w:r>
            <w:hyperlink w:anchor="ref_37" w:history="1">
              <w:r>
                <w:rPr>
                  <w:i w:val="0"/>
                  <w:color w:val="1F5FA8"/>
                  <w:sz w:val="16"/>
                  <w:vertAlign w:val="superscript"/>
                </w:rPr>
                <w:t>37</w:t>
              </w:r>
            </w:hyperlink>
          </w:p>
        </w:tc>
        <w:tc>
          <w:tcPr>
            <w:tcW w:type="dxa" w:w="2611"/>
          </w:tcPr>
          <w:p>
            <w:pPr>
              <w:spacing w:after="0" w:line="240" w:lineRule="auto"/>
            </w:pPr>
            <w:r>
              <w:rPr>
                <w:b w:val="0"/>
                <w:i w:val="0"/>
                <w:sz w:val="16"/>
              </w:rPr>
              <w:t>BioProject PRJNA918596</w:t>
            </w:r>
          </w:p>
        </w:tc>
      </w:tr>
      <w:tr>
        <w:tc>
          <w:tcPr>
            <w:tcW w:type="dxa" w:w="4352"/>
          </w:tcPr>
          <w:p>
            <w:pPr>
              <w:spacing w:after="0" w:line="240" w:lineRule="auto"/>
            </w:pPr>
            <w:r>
              <w:rPr>
                <w:b w:val="0"/>
                <w:i w:val="0"/>
                <w:sz w:val="16"/>
              </w:rPr>
              <w:t>Illumina Ramos IGH VDJ, HMCES</w:t>
            </w:r>
          </w:p>
        </w:tc>
        <w:tc>
          <w:tcPr>
            <w:tcW w:type="dxa" w:w="2901"/>
          </w:tcPr>
          <w:p>
            <w:pPr>
              <w:spacing w:after="0" w:line="240" w:lineRule="auto"/>
            </w:pPr>
            <w:r>
              <w:rPr>
                <w:b w:val="0"/>
                <w:i w:val="0"/>
                <w:sz w:val="16"/>
              </w:rPr>
              <w:t>Wu et al.</w:t>
            </w:r>
            <w:hyperlink w:anchor="ref_38" w:history="1">
              <w:r>
                <w:rPr>
                  <w:i w:val="0"/>
                  <w:color w:val="1F5FA8"/>
                  <w:sz w:val="16"/>
                  <w:vertAlign w:val="superscript"/>
                </w:rPr>
                <w:t>38</w:t>
              </w:r>
            </w:hyperlink>
          </w:p>
        </w:tc>
        <w:tc>
          <w:tcPr>
            <w:tcW w:type="dxa" w:w="2611"/>
          </w:tcPr>
          <w:p>
            <w:pPr>
              <w:spacing w:after="0" w:line="240" w:lineRule="auto"/>
            </w:pPr>
            <w:r>
              <w:rPr>
                <w:b w:val="0"/>
                <w:i w:val="0"/>
                <w:sz w:val="16"/>
              </w:rPr>
              <w:t>BioProject PRJNA820976</w:t>
            </w:r>
          </w:p>
        </w:tc>
      </w:tr>
      <w:tr>
        <w:tc>
          <w:tcPr>
            <w:tcW w:type="dxa" w:w="4352"/>
          </w:tcPr>
          <w:p>
            <w:pPr>
              <w:spacing w:after="0" w:line="240" w:lineRule="auto"/>
            </w:pPr>
            <w:r>
              <w:rPr>
                <w:b w:val="0"/>
                <w:i w:val="0"/>
                <w:sz w:val="16"/>
              </w:rPr>
              <w:t>Illumina mOrange reporter, ectopic AID in NIH-3T3 cells</w:t>
            </w:r>
          </w:p>
        </w:tc>
        <w:tc>
          <w:tcPr>
            <w:tcW w:type="dxa" w:w="2901"/>
          </w:tcPr>
          <w:p>
            <w:pPr>
              <w:spacing w:after="0" w:line="240" w:lineRule="auto"/>
            </w:pPr>
            <w:r>
              <w:rPr>
                <w:b w:val="0"/>
                <w:i w:val="0"/>
                <w:sz w:val="16"/>
              </w:rPr>
              <w:t>Pérez-Durán et al.</w:t>
            </w:r>
            <w:hyperlink w:anchor="ref_39" w:history="1">
              <w:r>
                <w:rPr>
                  <w:i w:val="0"/>
                  <w:color w:val="1F5FA8"/>
                  <w:sz w:val="16"/>
                  <w:vertAlign w:val="superscript"/>
                </w:rPr>
                <w:t>39</w:t>
              </w:r>
            </w:hyperlink>
          </w:p>
        </w:tc>
        <w:tc>
          <w:tcPr>
            <w:tcW w:type="dxa" w:w="2611"/>
          </w:tcPr>
          <w:p>
            <w:pPr>
              <w:spacing w:after="0" w:line="240" w:lineRule="auto"/>
            </w:pPr>
            <w:r>
              <w:rPr>
                <w:b w:val="0"/>
                <w:i w:val="0"/>
                <w:sz w:val="16"/>
              </w:rPr>
              <w:t>BioProject PRJNA170048; GEO GSE39108</w:t>
            </w:r>
          </w:p>
        </w:tc>
      </w:tr>
      <w:tr>
        <w:tc>
          <w:tcPr>
            <w:tcW w:type="dxa" w:w="4352"/>
          </w:tcPr>
          <w:p>
            <w:pPr>
              <w:spacing w:after="0" w:line="240" w:lineRule="auto"/>
            </w:pPr>
            <w:r>
              <w:rPr>
                <w:b w:val="0"/>
                <w:i w:val="0"/>
                <w:sz w:val="16"/>
              </w:rPr>
              <w:t>R10 nanopore reads with dual UMIs, ZymoBIOMICS operons</w:t>
            </w:r>
          </w:p>
        </w:tc>
        <w:tc>
          <w:tcPr>
            <w:tcW w:type="dxa" w:w="2901"/>
          </w:tcPr>
          <w:p>
            <w:pPr>
              <w:spacing w:after="0" w:line="240" w:lineRule="auto"/>
            </w:pPr>
            <w:r>
              <w:rPr>
                <w:b w:val="0"/>
                <w:i w:val="0"/>
                <w:sz w:val="16"/>
              </w:rPr>
              <w:t>Karst et al.</w:t>
            </w:r>
            <w:hyperlink w:anchor="ref_44" w:history="1">
              <w:r>
                <w:rPr>
                  <w:i w:val="0"/>
                  <w:color w:val="1F5FA8"/>
                  <w:sz w:val="16"/>
                  <w:vertAlign w:val="superscript"/>
                </w:rPr>
                <w:t>44</w:t>
              </w:r>
            </w:hyperlink>
          </w:p>
        </w:tc>
        <w:tc>
          <w:tcPr>
            <w:tcW w:type="dxa" w:w="2611"/>
          </w:tcPr>
          <w:p>
            <w:pPr>
              <w:spacing w:after="0" w:line="240" w:lineRule="auto"/>
            </w:pPr>
            <w:r>
              <w:rPr>
                <w:b w:val="0"/>
                <w:i w:val="0"/>
                <w:sz w:val="16"/>
              </w:rPr>
              <w:t>github.com/SorenKarst/longread_umi</w:t>
            </w:r>
          </w:p>
        </w:tc>
      </w:tr>
      <w:tr>
        <w:tc>
          <w:tcPr>
            <w:tcW w:type="dxa" w:w="4352"/>
          </w:tcPr>
          <w:p>
            <w:pPr>
              <w:spacing w:after="0" w:line="240" w:lineRule="auto"/>
            </w:pPr>
            <w:r>
              <w:rPr>
                <w:b w:val="0"/>
                <w:i w:val="0"/>
                <w:sz w:val="16"/>
              </w:rPr>
              <w:t xml:space="preserve">PacBio Sμ–Sγ1 class-switch products, </w:t>
            </w:r>
            <w:r>
              <w:rPr>
                <w:i/>
                <w:sz w:val="16"/>
              </w:rPr>
              <w:t>Shld1</w:t>
            </w:r>
            <w:r>
              <w:rPr>
                <w:b w:val="0"/>
                <w:i w:val="0"/>
                <w:sz w:val="16"/>
              </w:rPr>
              <w:t xml:space="preserve"> and </w:t>
            </w:r>
            <w:r>
              <w:rPr>
                <w:i/>
                <w:sz w:val="16"/>
              </w:rPr>
              <w:t>Xlf</w:t>
            </w:r>
            <w:r>
              <w:rPr>
                <w:b w:val="0"/>
                <w:i w:val="0"/>
                <w:sz w:val="16"/>
              </w:rPr>
              <w:t xml:space="preserve"> mice</w:t>
            </w:r>
          </w:p>
        </w:tc>
        <w:tc>
          <w:tcPr>
            <w:tcW w:type="dxa" w:w="2901"/>
          </w:tcPr>
          <w:p>
            <w:pPr>
              <w:spacing w:after="0" w:line="240" w:lineRule="auto"/>
            </w:pPr>
            <w:r>
              <w:rPr>
                <w:b w:val="0"/>
                <w:i w:val="0"/>
                <w:sz w:val="16"/>
              </w:rPr>
              <w:t>Vincendeau et al.</w:t>
            </w:r>
            <w:hyperlink w:anchor="ref_43" w:history="1">
              <w:r>
                <w:rPr>
                  <w:i w:val="0"/>
                  <w:color w:val="1F5FA8"/>
                  <w:sz w:val="16"/>
                  <w:vertAlign w:val="superscript"/>
                </w:rPr>
                <w:t>43</w:t>
              </w:r>
            </w:hyperlink>
          </w:p>
        </w:tc>
        <w:tc>
          <w:tcPr>
            <w:tcW w:type="dxa" w:w="2611"/>
          </w:tcPr>
          <w:p>
            <w:pPr>
              <w:spacing w:after="0" w:line="240" w:lineRule="auto"/>
            </w:pPr>
            <w:r>
              <w:rPr>
                <w:b w:val="0"/>
                <w:i w:val="0"/>
                <w:sz w:val="16"/>
              </w:rPr>
              <w:t>BioProject PRJNA831666</w:t>
            </w:r>
          </w:p>
        </w:tc>
      </w:tr>
      <w:tr>
        <w:tc>
          <w:tcPr>
            <w:tcW w:type="dxa" w:w="4352"/>
          </w:tcPr>
          <w:p>
            <w:pPr>
              <w:spacing w:after="0" w:line="240" w:lineRule="auto"/>
            </w:pPr>
            <w:r>
              <w:rPr>
                <w:b w:val="0"/>
                <w:i w:val="0"/>
                <w:sz w:val="16"/>
              </w:rPr>
              <w:t>Illumina Sμ mutation libraries, PI3Kδ inhibitors</w:t>
            </w:r>
          </w:p>
        </w:tc>
        <w:tc>
          <w:tcPr>
            <w:tcW w:type="dxa" w:w="2901"/>
          </w:tcPr>
          <w:p>
            <w:pPr>
              <w:spacing w:after="0" w:line="240" w:lineRule="auto"/>
            </w:pPr>
            <w:r>
              <w:rPr>
                <w:b w:val="0"/>
                <w:i w:val="0"/>
                <w:sz w:val="16"/>
              </w:rPr>
              <w:t>Compagno et al.</w:t>
            </w:r>
            <w:hyperlink w:anchor="ref_42" w:history="1">
              <w:r>
                <w:rPr>
                  <w:i w:val="0"/>
                  <w:color w:val="1F5FA8"/>
                  <w:sz w:val="16"/>
                  <w:vertAlign w:val="superscript"/>
                </w:rPr>
                <w:t>42</w:t>
              </w:r>
            </w:hyperlink>
          </w:p>
        </w:tc>
        <w:tc>
          <w:tcPr>
            <w:tcW w:type="dxa" w:w="2611"/>
          </w:tcPr>
          <w:p>
            <w:pPr>
              <w:spacing w:after="0" w:line="240" w:lineRule="auto"/>
            </w:pPr>
            <w:r>
              <w:rPr>
                <w:b w:val="0"/>
                <w:i w:val="0"/>
                <w:sz w:val="16"/>
              </w:rPr>
              <w:t>BioProject PRJNA311552; GEO GSE77788</w:t>
            </w:r>
          </w:p>
        </w:tc>
      </w:tr>
      <w:tr>
        <w:tc>
          <w:tcPr>
            <w:tcW w:type="dxa" w:w="4352"/>
          </w:tcPr>
          <w:p>
            <w:pPr>
              <w:spacing w:after="0" w:line="240" w:lineRule="auto"/>
            </w:pPr>
            <w:r>
              <w:rPr>
                <w:b w:val="0"/>
                <w:i w:val="0"/>
                <w:sz w:val="16"/>
              </w:rPr>
              <w:t>Illumina GFP reporter, diversifying base editors</w:t>
            </w:r>
          </w:p>
        </w:tc>
        <w:tc>
          <w:tcPr>
            <w:tcW w:type="dxa" w:w="2901"/>
          </w:tcPr>
          <w:p>
            <w:pPr>
              <w:spacing w:after="0" w:line="240" w:lineRule="auto"/>
            </w:pPr>
            <w:r>
              <w:rPr>
                <w:b w:val="0"/>
                <w:i w:val="0"/>
                <w:sz w:val="16"/>
              </w:rPr>
              <w:t>Liu et al.</w:t>
            </w:r>
            <w:hyperlink w:anchor="ref_40" w:history="1">
              <w:r>
                <w:rPr>
                  <w:i w:val="0"/>
                  <w:color w:val="1F5FA8"/>
                  <w:sz w:val="16"/>
                  <w:vertAlign w:val="superscript"/>
                </w:rPr>
                <w:t>40</w:t>
              </w:r>
            </w:hyperlink>
          </w:p>
        </w:tc>
        <w:tc>
          <w:tcPr>
            <w:tcW w:type="dxa" w:w="2611"/>
          </w:tcPr>
          <w:p>
            <w:pPr>
              <w:spacing w:after="0" w:line="240" w:lineRule="auto"/>
            </w:pPr>
            <w:r>
              <w:rPr>
                <w:b w:val="0"/>
                <w:i w:val="0"/>
                <w:sz w:val="16"/>
              </w:rPr>
              <w:t>SRA SRP159221</w:t>
            </w:r>
          </w:p>
        </w:tc>
      </w:tr>
      <w:tr>
        <w:tc>
          <w:tcPr>
            <w:tcW w:type="dxa" w:w="4352"/>
          </w:tcPr>
          <w:p>
            <w:pPr>
              <w:spacing w:after="0" w:line="240" w:lineRule="auto"/>
            </w:pPr>
            <w:r>
              <w:rPr>
                <w:b w:val="0"/>
                <w:i w:val="0"/>
                <w:sz w:val="16"/>
              </w:rPr>
              <w:t>Anti-HLA-A2 antibody clone sequences</w:t>
            </w:r>
          </w:p>
        </w:tc>
        <w:tc>
          <w:tcPr>
            <w:tcW w:type="dxa" w:w="2901"/>
          </w:tcPr>
          <w:p>
            <w:pPr>
              <w:spacing w:after="0" w:line="240" w:lineRule="auto"/>
            </w:pPr>
            <w:r>
              <w:rPr>
                <w:b w:val="0"/>
                <w:i w:val="0"/>
                <w:sz w:val="16"/>
              </w:rPr>
              <w:t>Devilder et al.</w:t>
            </w:r>
            <w:hyperlink w:anchor="ref_41" w:history="1">
              <w:r>
                <w:rPr>
                  <w:i w:val="0"/>
                  <w:color w:val="1F5FA8"/>
                  <w:sz w:val="16"/>
                  <w:vertAlign w:val="superscript"/>
                </w:rPr>
                <w:t>41</w:t>
              </w:r>
            </w:hyperlink>
          </w:p>
        </w:tc>
        <w:tc>
          <w:tcPr>
            <w:tcW w:type="dxa" w:w="2611"/>
          </w:tcPr>
          <w:p>
            <w:pPr>
              <w:spacing w:after="0" w:line="240" w:lineRule="auto"/>
            </w:pPr>
            <w:r>
              <w:rPr>
                <w:b w:val="0"/>
                <w:i w:val="0"/>
                <w:sz w:val="16"/>
              </w:rPr>
              <w:t>the study's Additional file 1</w:t>
            </w:r>
          </w:p>
        </w:tc>
      </w:tr>
      <w:tr>
        <w:tc>
          <w:tcPr>
            <w:tcW w:type="dxa" w:w="4352"/>
          </w:tcPr>
          <w:p>
            <w:pPr>
              <w:spacing w:after="0" w:line="240" w:lineRule="auto"/>
            </w:pPr>
            <w:r>
              <w:rPr>
                <w:b/>
                <w:i w:val="0"/>
                <w:sz w:val="16"/>
              </w:rPr>
              <w:t>Experimental models: Cell lines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N114 hybridoma (V</w:t>
            </w:r>
            <w:r>
              <w:rPr>
                <w:i w:val="0"/>
                <w:sz w:val="16"/>
                <w:vertAlign w:val="subscript"/>
              </w:rPr>
              <w:t>H</w:t>
            </w:r>
            <w:r>
              <w:rPr>
                <w:b w:val="0"/>
                <w:i w:val="0"/>
                <w:sz w:val="16"/>
              </w:rPr>
              <w:t>, J558/IGHV1 family)</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Experimental models: Organisms/strains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Mouse: C57BL/6N wild type</w:t>
            </w:r>
          </w:p>
        </w:tc>
        <w:tc>
          <w:tcPr>
            <w:tcW w:type="dxa" w:w="2901"/>
          </w:tcPr>
          <w:p>
            <w:pPr>
              <w:spacing w:after="0" w:line="240" w:lineRule="auto"/>
            </w:pPr>
            <w:r>
              <w:rPr>
                <w:b w:val="0"/>
                <w:i w:val="0"/>
                <w:sz w:val="16"/>
              </w:rPr>
              <w:t>Bred in house (wild-type littermates)</w:t>
            </w:r>
          </w:p>
        </w:tc>
        <w:tc>
          <w:tcPr>
            <w:tcW w:type="dxa" w:w="2611"/>
          </w:tcPr>
          <w:p>
            <w:pPr>
              <w:spacing w:after="0" w:line="240" w:lineRule="auto"/>
            </w:pPr>
            <w:r>
              <w:rPr>
                <w:b w:val="0"/>
                <w:i w:val="0"/>
                <w:sz w:val="16"/>
              </w:rPr>
              <w:t>N/A (bred in house)</w:t>
            </w:r>
          </w:p>
        </w:tc>
      </w:tr>
      <w:tr>
        <w:tc>
          <w:tcPr>
            <w:tcW w:type="dxa" w:w="4352"/>
          </w:tcPr>
          <w:p>
            <w:pPr>
              <w:spacing w:after="0" w:line="240" w:lineRule="auto"/>
            </w:pPr>
            <w:r>
              <w:rPr>
                <w:b w:val="0"/>
                <w:i w:val="0"/>
                <w:sz w:val="16"/>
              </w:rPr>
              <w:t xml:space="preserve">Mouse: </w:t>
            </w:r>
            <w:r>
              <w:rPr>
                <w:i/>
                <w:sz w:val="16"/>
              </w:rPr>
              <w:t>Aicda</w:t>
            </w:r>
            <w:r>
              <w:rPr>
                <w:i w:val="0"/>
                <w:sz w:val="16"/>
                <w:vertAlign w:val="superscript"/>
              </w:rPr>
              <w:t>−/−</w:t>
            </w:r>
            <w:r>
              <w:rPr>
                <w:b w:val="0"/>
                <w:i w:val="0"/>
                <w:sz w:val="16"/>
              </w:rPr>
              <w:t xml:space="preserve"> (C57BL/6 background)</w:t>
            </w:r>
          </w:p>
        </w:tc>
        <w:tc>
          <w:tcPr>
            <w:tcW w:type="dxa" w:w="2901"/>
          </w:tcPr>
          <w:p>
            <w:pPr>
              <w:spacing w:after="0" w:line="240" w:lineRule="auto"/>
            </w:pPr>
            <w:r>
              <w:rPr>
                <w:b w:val="0"/>
                <w:i w:val="0"/>
                <w:sz w:val="16"/>
              </w:rPr>
              <w:t>Muramatsu et al.</w:t>
            </w:r>
            <w:hyperlink w:anchor="ref_1" w:history="1">
              <w:r>
                <w:rPr>
                  <w:i w:val="0"/>
                  <w:color w:val="1F5FA8"/>
                  <w:sz w:val="16"/>
                  <w:vertAlign w:val="superscript"/>
                </w:rPr>
                <w:t>1</w:t>
              </w:r>
            </w:hyperlink>
          </w:p>
        </w:tc>
        <w:tc>
          <w:tcPr>
            <w:tcW w:type="dxa" w:w="2611"/>
          </w:tcPr>
          <w:p>
            <w:pPr>
              <w:spacing w:after="0" w:line="240" w:lineRule="auto"/>
            </w:pPr>
            <w:r>
              <w:rPr>
                <w:b w:val="0"/>
                <w:i w:val="0"/>
                <w:sz w:val="16"/>
              </w:rPr>
              <w:t>[Aicda-/- RRID (MGI)]</w:t>
            </w:r>
          </w:p>
        </w:tc>
      </w:tr>
      <w:tr>
        <w:tc>
          <w:tcPr>
            <w:tcW w:type="dxa" w:w="4352"/>
          </w:tcPr>
          <w:p>
            <w:pPr>
              <w:spacing w:after="0" w:line="240" w:lineRule="auto"/>
            </w:pPr>
            <w:r>
              <w:rPr>
                <w:b/>
                <w:i w:val="0"/>
                <w:sz w:val="16"/>
              </w:rPr>
              <w:t>Oligonucleotides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J</w:t>
            </w:r>
            <w:r>
              <w:rPr>
                <w:i w:val="0"/>
                <w:sz w:val="16"/>
                <w:vertAlign w:val="subscript"/>
              </w:rPr>
              <w:t>H</w:t>
            </w:r>
            <w:r>
              <w:rPr>
                <w:b w:val="0"/>
                <w:i w:val="0"/>
                <w:sz w:val="16"/>
              </w:rPr>
              <w:t>4 intron primers</w:t>
            </w:r>
          </w:p>
        </w:tc>
        <w:tc>
          <w:tcPr>
            <w:tcW w:type="dxa" w:w="2901"/>
          </w:tcPr>
          <w:p>
            <w:pPr>
              <w:spacing w:after="0" w:line="240" w:lineRule="auto"/>
            </w:pPr>
            <w:r>
              <w:rPr>
                <w:b w:val="0"/>
                <w:i w:val="0"/>
                <w:sz w:val="16"/>
              </w:rPr>
              <w:t>Jolly et al.</w:t>
            </w:r>
            <w:hyperlink w:anchor="ref_8" w:history="1">
              <w:r>
                <w:rPr>
                  <w:i w:val="0"/>
                  <w:color w:val="1F5FA8"/>
                  <w:sz w:val="16"/>
                  <w:vertAlign w:val="superscript"/>
                </w:rPr>
                <w:t>8</w:t>
              </w:r>
            </w:hyperlink>
          </w:p>
        </w:tc>
        <w:tc>
          <w:tcPr>
            <w:tcW w:type="dxa" w:w="2611"/>
          </w:tcPr>
          <w:p>
            <w:pPr>
              <w:spacing w:after="0" w:line="240" w:lineRule="auto"/>
            </w:pPr>
            <w:r>
              <w:rPr>
                <w:b w:val="0"/>
                <w:i w:val="0"/>
                <w:sz w:val="16"/>
              </w:rPr>
              <w:t>forward 5′-GGAATTCGCCTGACATCTGAGGACTCTGC-3′, reverse 5′-GACTAGTCCTCTCCAGTTTCGGCTGAATCC-3′</w:t>
            </w:r>
          </w:p>
        </w:tc>
      </w:tr>
      <w:tr>
        <w:tc>
          <w:tcPr>
            <w:tcW w:type="dxa" w:w="4352"/>
          </w:tcPr>
          <w:p>
            <w:pPr>
              <w:spacing w:after="0" w:line="240" w:lineRule="auto"/>
            </w:pPr>
            <w:r>
              <w:rPr>
                <w:b w:val="0"/>
                <w:i w:val="0"/>
                <w:sz w:val="16"/>
              </w:rPr>
              <w:t>N114 V-region primers</w:t>
            </w:r>
          </w:p>
        </w:tc>
        <w:tc>
          <w:tcPr>
            <w:tcW w:type="dxa" w:w="2901"/>
          </w:tcPr>
          <w:p>
            <w:pPr>
              <w:spacing w:after="0" w:line="240" w:lineRule="auto"/>
            </w:pPr>
            <w:r>
              <w:rPr>
                <w:b w:val="0"/>
                <w:i w:val="0"/>
                <w:sz w:val="16"/>
              </w:rPr>
              <w:t>Martin et al.</w:t>
            </w:r>
            <w:hyperlink w:anchor="ref_45" w:history="1">
              <w:r>
                <w:rPr>
                  <w:i w:val="0"/>
                  <w:color w:val="1F5FA8"/>
                  <w:sz w:val="16"/>
                  <w:vertAlign w:val="superscript"/>
                </w:rPr>
                <w:t>45</w:t>
              </w:r>
            </w:hyperlink>
          </w:p>
        </w:tc>
        <w:tc>
          <w:tcPr>
            <w:tcW w:type="dxa" w:w="2611"/>
          </w:tcPr>
          <w:p>
            <w:pPr>
              <w:spacing w:after="0" w:line="240" w:lineRule="auto"/>
            </w:pPr>
            <w:r>
              <w:rPr>
                <w:b w:val="0"/>
                <w:i w:val="0"/>
                <w:sz w:val="16"/>
              </w:rPr>
              <w:t>forward 5′-TTACCTGGGTCTATGGCAGT-3′, reverse 5′-TGAAGGCTCAGAATCCCCC-3′</w:t>
            </w:r>
          </w:p>
        </w:tc>
      </w:tr>
      <w:tr>
        <w:tc>
          <w:tcPr>
            <w:tcW w:type="dxa" w:w="4352"/>
          </w:tcPr>
          <w:p>
            <w:pPr>
              <w:spacing w:after="0" w:line="240" w:lineRule="auto"/>
            </w:pPr>
            <w:r>
              <w:rPr>
                <w:b/>
                <w:i w:val="0"/>
                <w:sz w:val="16"/>
              </w:rPr>
              <w:t>Recombinant DNA</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pMX-</w:t>
            </w:r>
            <w:r>
              <w:rPr>
                <w:i/>
                <w:sz w:val="16"/>
              </w:rPr>
              <w:t>Aicda</w:t>
            </w:r>
            <w:r>
              <w:rPr>
                <w:b w:val="0"/>
                <w:i w:val="0"/>
                <w:sz w:val="16"/>
              </w:rPr>
              <w:t xml:space="preserve"> and pMX empty vector (GFP, puromycin resistance)</w:t>
            </w:r>
          </w:p>
        </w:tc>
        <w:tc>
          <w:tcPr>
            <w:tcW w:type="dxa" w:w="2901"/>
          </w:tcPr>
          <w:p>
            <w:pPr>
              <w:spacing w:after="0" w:line="240" w:lineRule="auto"/>
            </w:pPr>
            <w:r>
              <w:rPr>
                <w:b w:val="0"/>
                <w:i w:val="0"/>
                <w:sz w:val="16"/>
              </w:rPr>
              <w:t>Martin laboratory</w:t>
            </w:r>
            <w:hyperlink w:anchor="ref_46" w:history="1">
              <w:r>
                <w:rPr>
                  <w:i w:val="0"/>
                  <w:color w:val="1F5FA8"/>
                  <w:sz w:val="16"/>
                  <w:vertAlign w:val="superscript"/>
                </w:rPr>
                <w:t>46</w:t>
              </w:r>
            </w:hyperlink>
          </w:p>
        </w:tc>
        <w:tc>
          <w:tcPr>
            <w:tcW w:type="dxa" w:w="2611"/>
          </w:tcPr>
          <w:p>
            <w:pPr>
              <w:spacing w:after="0" w:line="240" w:lineRule="auto"/>
            </w:pPr>
            <w:r>
              <w:rPr>
                <w:b w:val="0"/>
                <w:i w:val="0"/>
                <w:sz w:val="16"/>
              </w:rPr>
              <w:t>N/A</w:t>
            </w:r>
          </w:p>
        </w:tc>
      </w:tr>
      <w:tr>
        <w:tc>
          <w:tcPr>
            <w:tcW w:type="dxa" w:w="4352"/>
          </w:tcPr>
          <w:p>
            <w:pPr>
              <w:spacing w:after="0" w:line="240" w:lineRule="auto"/>
            </w:pPr>
            <w:r>
              <w:rPr>
                <w:b/>
                <w:i w:val="0"/>
                <w:sz w:val="16"/>
              </w:rPr>
              <w:t>Software and algorithms</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SHMtrace v0.2.2 (command line and desktop application)</w:t>
            </w:r>
          </w:p>
        </w:tc>
        <w:tc>
          <w:tcPr>
            <w:tcW w:type="dxa" w:w="2901"/>
          </w:tcPr>
          <w:p>
            <w:pPr>
              <w:spacing w:after="0" w:line="240" w:lineRule="auto"/>
            </w:pPr>
            <w:r>
              <w:rPr>
                <w:b w:val="0"/>
                <w:i w:val="0"/>
                <w:sz w:val="16"/>
              </w:rPr>
              <w:t>This paper</w:t>
            </w:r>
          </w:p>
        </w:tc>
        <w:tc>
          <w:tcPr>
            <w:tcW w:type="dxa" w:w="2611"/>
          </w:tcPr>
          <w:p>
            <w:pPr>
              <w:spacing w:after="0" w:line="240" w:lineRule="auto"/>
            </w:pPr>
            <w:r>
              <w:rPr>
                <w:b w:val="0"/>
                <w:i w:val="0"/>
                <w:sz w:val="16"/>
              </w:rPr>
              <w:t>[SHMtrace Zenodo DOI]; https://github.com/AbdulmateenAderinto/SHMtrace</w:t>
            </w:r>
          </w:p>
        </w:tc>
      </w:tr>
      <w:tr>
        <w:tc>
          <w:tcPr>
            <w:tcW w:type="dxa" w:w="4352"/>
          </w:tcPr>
          <w:p>
            <w:pPr>
              <w:spacing w:after="0" w:line="240" w:lineRule="auto"/>
            </w:pPr>
            <w:r>
              <w:rPr>
                <w:b w:val="0"/>
                <w:i w:val="0"/>
                <w:sz w:val="16"/>
              </w:rPr>
              <w:t>minimap2 2.30 (mappy 2.31)</w:t>
            </w:r>
          </w:p>
        </w:tc>
        <w:tc>
          <w:tcPr>
            <w:tcW w:type="dxa" w:w="2901"/>
          </w:tcPr>
          <w:p>
            <w:pPr>
              <w:spacing w:after="0" w:line="240" w:lineRule="auto"/>
            </w:pPr>
            <w:r>
              <w:rPr>
                <w:b w:val="0"/>
                <w:i w:val="0"/>
                <w:sz w:val="16"/>
              </w:rPr>
              <w:t>Li</w:t>
            </w:r>
            <w:hyperlink w:anchor="ref_29" w:history="1">
              <w:r>
                <w:rPr>
                  <w:i w:val="0"/>
                  <w:color w:val="1F5FA8"/>
                  <w:sz w:val="16"/>
                  <w:vertAlign w:val="superscript"/>
                </w:rPr>
                <w:t>29</w:t>
              </w:r>
            </w:hyperlink>
          </w:p>
        </w:tc>
        <w:tc>
          <w:tcPr>
            <w:tcW w:type="dxa" w:w="2611"/>
          </w:tcPr>
          <w:p>
            <w:pPr>
              <w:spacing w:after="0" w:line="240" w:lineRule="auto"/>
            </w:pPr>
            <w:r>
              <w:rPr>
                <w:b w:val="0"/>
                <w:i w:val="0"/>
                <w:sz w:val="16"/>
              </w:rPr>
              <w:t>https://github.com/lh3/minimap2</w:t>
            </w:r>
          </w:p>
        </w:tc>
      </w:tr>
      <w:tr>
        <w:tc>
          <w:tcPr>
            <w:tcW w:type="dxa" w:w="4352"/>
          </w:tcPr>
          <w:p>
            <w:pPr>
              <w:spacing w:after="0" w:line="240" w:lineRule="auto"/>
            </w:pPr>
            <w:r>
              <w:rPr>
                <w:b w:val="0"/>
                <w:i w:val="0"/>
                <w:sz w:val="16"/>
              </w:rPr>
              <w:t>LoFreq 2.1.5</w:t>
            </w:r>
          </w:p>
        </w:tc>
        <w:tc>
          <w:tcPr>
            <w:tcW w:type="dxa" w:w="2901"/>
          </w:tcPr>
          <w:p>
            <w:pPr>
              <w:spacing w:after="0" w:line="240" w:lineRule="auto"/>
            </w:pPr>
            <w:r>
              <w:rPr>
                <w:b w:val="0"/>
                <w:i w:val="0"/>
                <w:sz w:val="16"/>
              </w:rPr>
              <w:t>Wilm et al.</w:t>
            </w:r>
            <w:hyperlink w:anchor="ref_18" w:history="1">
              <w:r>
                <w:rPr>
                  <w:i w:val="0"/>
                  <w:color w:val="1F5FA8"/>
                  <w:sz w:val="16"/>
                  <w:vertAlign w:val="superscript"/>
                </w:rPr>
                <w:t>18</w:t>
              </w:r>
            </w:hyperlink>
          </w:p>
        </w:tc>
        <w:tc>
          <w:tcPr>
            <w:tcW w:type="dxa" w:w="2611"/>
          </w:tcPr>
          <w:p>
            <w:pPr>
              <w:spacing w:after="0" w:line="240" w:lineRule="auto"/>
            </w:pPr>
            <w:r>
              <w:rPr>
                <w:b w:val="0"/>
                <w:i w:val="0"/>
                <w:sz w:val="16"/>
              </w:rPr>
              <w:t>https://github.com/CSB5/lofreq</w:t>
            </w:r>
          </w:p>
        </w:tc>
      </w:tr>
      <w:tr>
        <w:tc>
          <w:tcPr>
            <w:tcW w:type="dxa" w:w="4352"/>
          </w:tcPr>
          <w:p>
            <w:pPr>
              <w:spacing w:after="0" w:line="240" w:lineRule="auto"/>
            </w:pPr>
            <w:r>
              <w:rPr>
                <w:b w:val="0"/>
                <w:i w:val="0"/>
                <w:sz w:val="16"/>
              </w:rPr>
              <w:t>ClairS 0.5.1 and Clair3 2.0.3 (Docker image hkubal/clairs)</w:t>
            </w:r>
          </w:p>
        </w:tc>
        <w:tc>
          <w:tcPr>
            <w:tcW w:type="dxa" w:w="2901"/>
          </w:tcPr>
          <w:p>
            <w:pPr>
              <w:spacing w:after="0" w:line="240" w:lineRule="auto"/>
            </w:pPr>
            <w:r>
              <w:rPr>
                <w:b w:val="0"/>
                <w:i w:val="0"/>
                <w:sz w:val="16"/>
              </w:rPr>
              <w:t>Zheng et al.</w:t>
            </w:r>
            <w:hyperlink w:anchor="ref_24" w:history="1">
              <w:r>
                <w:rPr>
                  <w:i w:val="0"/>
                  <w:color w:val="1F5FA8"/>
                  <w:sz w:val="16"/>
                  <w:vertAlign w:val="superscript"/>
                </w:rPr>
                <w:t>24</w:t>
              </w:r>
            </w:hyperlink>
            <w:r>
              <w:rPr>
                <w:i w:val="0"/>
                <w:sz w:val="16"/>
                <w:vertAlign w:val="superscript"/>
              </w:rPr>
              <w:t>,</w:t>
            </w:r>
            <w:hyperlink w:anchor="ref_26" w:history="1">
              <w:r>
                <w:rPr>
                  <w:i w:val="0"/>
                  <w:color w:val="1F5FA8"/>
                  <w:sz w:val="16"/>
                  <w:vertAlign w:val="superscript"/>
                </w:rPr>
                <w:t>26</w:t>
              </w:r>
            </w:hyperlink>
          </w:p>
        </w:tc>
        <w:tc>
          <w:tcPr>
            <w:tcW w:type="dxa" w:w="2611"/>
          </w:tcPr>
          <w:p>
            <w:pPr>
              <w:spacing w:after="0" w:line="240" w:lineRule="auto"/>
            </w:pPr>
            <w:r>
              <w:rPr>
                <w:b w:val="0"/>
                <w:i w:val="0"/>
                <w:sz w:val="16"/>
              </w:rPr>
              <w:t>https://github.com/HKU-BAL/ClairS</w:t>
            </w:r>
          </w:p>
        </w:tc>
      </w:tr>
      <w:tr>
        <w:tc>
          <w:tcPr>
            <w:tcW w:type="dxa" w:w="4352"/>
          </w:tcPr>
          <w:p>
            <w:pPr>
              <w:spacing w:after="0" w:line="240" w:lineRule="auto"/>
            </w:pPr>
            <w:r>
              <w:rPr>
                <w:b w:val="0"/>
                <w:i w:val="0"/>
                <w:sz w:val="16"/>
              </w:rPr>
              <w:t>DeepVariant 1.9.0 and DeepSomatic 1.9.0 (Docker images google/deepvariant, google/deepsomatic)</w:t>
            </w:r>
          </w:p>
        </w:tc>
        <w:tc>
          <w:tcPr>
            <w:tcW w:type="dxa" w:w="2901"/>
          </w:tcPr>
          <w:p>
            <w:pPr>
              <w:spacing w:after="0" w:line="240" w:lineRule="auto"/>
            </w:pPr>
            <w:r>
              <w:rPr>
                <w:b w:val="0"/>
                <w:i w:val="0"/>
                <w:sz w:val="16"/>
              </w:rPr>
              <w:t>Poplin et al.</w:t>
            </w:r>
            <w:hyperlink w:anchor="ref_27" w:history="1">
              <w:r>
                <w:rPr>
                  <w:i w:val="0"/>
                  <w:color w:val="1F5FA8"/>
                  <w:sz w:val="16"/>
                  <w:vertAlign w:val="superscript"/>
                </w:rPr>
                <w:t>27</w:t>
              </w:r>
            </w:hyperlink>
            <w:r>
              <w:rPr>
                <w:b w:val="0"/>
                <w:i w:val="0"/>
                <w:sz w:val="16"/>
              </w:rPr>
              <w:t>; Park et al.</w:t>
            </w:r>
            <w:hyperlink w:anchor="ref_25" w:history="1">
              <w:r>
                <w:rPr>
                  <w:i w:val="0"/>
                  <w:color w:val="1F5FA8"/>
                  <w:sz w:val="16"/>
                  <w:vertAlign w:val="superscript"/>
                </w:rPr>
                <w:t>25</w:t>
              </w:r>
            </w:hyperlink>
          </w:p>
        </w:tc>
        <w:tc>
          <w:tcPr>
            <w:tcW w:type="dxa" w:w="2611"/>
          </w:tcPr>
          <w:p>
            <w:pPr>
              <w:spacing w:after="0" w:line="240" w:lineRule="auto"/>
            </w:pPr>
            <w:r>
              <w:rPr>
                <w:b w:val="0"/>
                <w:i w:val="0"/>
                <w:sz w:val="16"/>
              </w:rPr>
              <w:t>https://github.com/google/deepvariant</w:t>
            </w:r>
          </w:p>
        </w:tc>
      </w:tr>
      <w:tr>
        <w:tc>
          <w:tcPr>
            <w:tcW w:type="dxa" w:w="4352"/>
          </w:tcPr>
          <w:p>
            <w:pPr>
              <w:spacing w:after="0" w:line="240" w:lineRule="auto"/>
            </w:pPr>
            <w:r>
              <w:rPr>
                <w:b w:val="0"/>
                <w:i w:val="0"/>
                <w:sz w:val="16"/>
              </w:rPr>
              <w:t>SAMtools 1.24</w:t>
            </w:r>
          </w:p>
        </w:tc>
        <w:tc>
          <w:tcPr>
            <w:tcW w:type="dxa" w:w="2901"/>
          </w:tcPr>
          <w:p>
            <w:pPr>
              <w:spacing w:after="0" w:line="240" w:lineRule="auto"/>
            </w:pPr>
            <w:r>
              <w:rPr>
                <w:b w:val="0"/>
                <w:i w:val="0"/>
                <w:sz w:val="16"/>
              </w:rPr>
              <w:t>Danecek et al.</w:t>
            </w:r>
            <w:hyperlink w:anchor="ref_47" w:history="1">
              <w:r>
                <w:rPr>
                  <w:i w:val="0"/>
                  <w:color w:val="1F5FA8"/>
                  <w:sz w:val="16"/>
                  <w:vertAlign w:val="superscript"/>
                </w:rPr>
                <w:t>47</w:t>
              </w:r>
            </w:hyperlink>
          </w:p>
        </w:tc>
        <w:tc>
          <w:tcPr>
            <w:tcW w:type="dxa" w:w="2611"/>
          </w:tcPr>
          <w:p>
            <w:pPr>
              <w:spacing w:after="0" w:line="240" w:lineRule="auto"/>
            </w:pPr>
            <w:r>
              <w:rPr>
                <w:b w:val="0"/>
                <w:i w:val="0"/>
                <w:sz w:val="16"/>
              </w:rPr>
              <w:t>https://github.com/samtools/samtools</w:t>
            </w:r>
          </w:p>
        </w:tc>
      </w:tr>
      <w:tr>
        <w:tc>
          <w:tcPr>
            <w:tcW w:type="dxa" w:w="4352"/>
          </w:tcPr>
          <w:p>
            <w:pPr>
              <w:spacing w:after="0" w:line="240" w:lineRule="auto"/>
            </w:pPr>
            <w:r>
              <w:rPr>
                <w:b w:val="0"/>
                <w:i w:val="0"/>
                <w:sz w:val="16"/>
              </w:rPr>
              <w:t>SHazaM 1.2.0 (HH_S5F model)</w:t>
            </w:r>
          </w:p>
        </w:tc>
        <w:tc>
          <w:tcPr>
            <w:tcW w:type="dxa" w:w="2901"/>
          </w:tcPr>
          <w:p>
            <w:pPr>
              <w:spacing w:after="0" w:line="240" w:lineRule="auto"/>
            </w:pPr>
            <w:r>
              <w:rPr>
                <w:b w:val="0"/>
                <w:i w:val="0"/>
                <w:sz w:val="16"/>
              </w:rPr>
              <w:t>Gupta et al.</w:t>
            </w:r>
            <w:hyperlink w:anchor="ref_22" w:history="1">
              <w:r>
                <w:rPr>
                  <w:i w:val="0"/>
                  <w:color w:val="1F5FA8"/>
                  <w:sz w:val="16"/>
                  <w:vertAlign w:val="superscript"/>
                </w:rPr>
                <w:t>22</w:t>
              </w:r>
            </w:hyperlink>
            <w:r>
              <w:rPr>
                <w:b w:val="0"/>
                <w:i w:val="0"/>
                <w:sz w:val="16"/>
              </w:rPr>
              <w:t>; Yaari et al.</w:t>
            </w:r>
            <w:hyperlink w:anchor="ref_23" w:history="1">
              <w:r>
                <w:rPr>
                  <w:i w:val="0"/>
                  <w:color w:val="1F5FA8"/>
                  <w:sz w:val="16"/>
                  <w:vertAlign w:val="superscript"/>
                </w:rPr>
                <w:t>23</w:t>
              </w:r>
            </w:hyperlink>
          </w:p>
        </w:tc>
        <w:tc>
          <w:tcPr>
            <w:tcW w:type="dxa" w:w="2611"/>
          </w:tcPr>
          <w:p>
            <w:pPr>
              <w:spacing w:after="0" w:line="240" w:lineRule="auto"/>
            </w:pPr>
            <w:r>
              <w:rPr>
                <w:b w:val="0"/>
                <w:i w:val="0"/>
                <w:sz w:val="16"/>
              </w:rPr>
              <w:t>https://immcantation.readthedocs.io</w:t>
            </w:r>
          </w:p>
        </w:tc>
      </w:tr>
      <w:tr>
        <w:tc>
          <w:tcPr>
            <w:tcW w:type="dxa" w:w="4352"/>
          </w:tcPr>
          <w:p>
            <w:pPr>
              <w:spacing w:after="0" w:line="240" w:lineRule="auto"/>
            </w:pPr>
            <w:r>
              <w:rPr>
                <w:b w:val="0"/>
                <w:i w:val="0"/>
                <w:sz w:val="16"/>
              </w:rPr>
              <w:t>IgBLAST 1.22.0</w:t>
            </w:r>
          </w:p>
        </w:tc>
        <w:tc>
          <w:tcPr>
            <w:tcW w:type="dxa" w:w="2901"/>
          </w:tcPr>
          <w:p>
            <w:pPr>
              <w:spacing w:after="0" w:line="240" w:lineRule="auto"/>
            </w:pPr>
            <w:r>
              <w:rPr>
                <w:b w:val="0"/>
                <w:i w:val="0"/>
                <w:sz w:val="16"/>
              </w:rPr>
              <w:t>Ye et al.</w:t>
            </w:r>
            <w:hyperlink w:anchor="ref_31" w:history="1">
              <w:r>
                <w:rPr>
                  <w:i w:val="0"/>
                  <w:color w:val="1F5FA8"/>
                  <w:sz w:val="16"/>
                  <w:vertAlign w:val="superscript"/>
                </w:rPr>
                <w:t>31</w:t>
              </w:r>
            </w:hyperlink>
          </w:p>
        </w:tc>
        <w:tc>
          <w:tcPr>
            <w:tcW w:type="dxa" w:w="2611"/>
          </w:tcPr>
          <w:p>
            <w:pPr>
              <w:spacing w:after="0" w:line="240" w:lineRule="auto"/>
            </w:pPr>
            <w:r>
              <w:rPr>
                <w:b w:val="0"/>
                <w:i w:val="0"/>
                <w:sz w:val="16"/>
              </w:rPr>
              <w:t>https://ncbi.github.io/igblast</w:t>
            </w:r>
          </w:p>
        </w:tc>
      </w:tr>
      <w:tr>
        <w:tc>
          <w:tcPr>
            <w:tcW w:type="dxa" w:w="4352"/>
          </w:tcPr>
          <w:p>
            <w:pPr>
              <w:spacing w:after="0" w:line="240" w:lineRule="auto"/>
            </w:pPr>
            <w:r>
              <w:rPr>
                <w:b w:val="0"/>
                <w:i w:val="0"/>
                <w:sz w:val="16"/>
              </w:rPr>
              <w:t>Python 3.13, NumPy 2.5, SciPy 1.18</w:t>
            </w:r>
          </w:p>
        </w:tc>
        <w:tc>
          <w:tcPr>
            <w:tcW w:type="dxa" w:w="2901"/>
          </w:tcPr>
          <w:p>
            <w:pPr>
              <w:spacing w:after="0" w:line="240" w:lineRule="auto"/>
            </w:pPr>
            <w:r>
              <w:rPr>
                <w:b w:val="0"/>
                <w:i w:val="0"/>
                <w:sz w:val="16"/>
              </w:rPr>
              <w:t>Virtanen et al.</w:t>
            </w:r>
            <w:hyperlink w:anchor="ref_48" w:history="1">
              <w:r>
                <w:rPr>
                  <w:i w:val="0"/>
                  <w:color w:val="1F5FA8"/>
                  <w:sz w:val="16"/>
                  <w:vertAlign w:val="superscript"/>
                </w:rPr>
                <w:t>48</w:t>
              </w:r>
            </w:hyperlink>
          </w:p>
        </w:tc>
        <w:tc>
          <w:tcPr>
            <w:tcW w:type="dxa" w:w="2611"/>
          </w:tcPr>
          <w:p>
            <w:pPr>
              <w:spacing w:after="0" w:line="240" w:lineRule="auto"/>
            </w:pPr>
            <w:r>
              <w:rPr>
                <w:b w:val="0"/>
                <w:i w:val="0"/>
                <w:sz w:val="16"/>
              </w:rPr>
              <w:t>https://scipy.org</w:t>
            </w:r>
          </w:p>
        </w:tc>
      </w:tr>
      <w:tr>
        <w:tc>
          <w:tcPr>
            <w:tcW w:type="dxa" w:w="4352"/>
          </w:tcPr>
          <w:p>
            <w:pPr>
              <w:spacing w:after="0" w:line="240" w:lineRule="auto"/>
            </w:pPr>
            <w:r>
              <w:rPr>
                <w:b w:val="0"/>
                <w:i w:val="0"/>
                <w:sz w:val="16"/>
              </w:rPr>
              <w:t>SRA Toolkit 3.4.1</w:t>
            </w:r>
          </w:p>
        </w:tc>
        <w:tc>
          <w:tcPr>
            <w:tcW w:type="dxa" w:w="2901"/>
          </w:tcPr>
          <w:p>
            <w:pPr>
              <w:spacing w:after="0" w:line="240" w:lineRule="auto"/>
            </w:pPr>
            <w:r>
              <w:rPr>
                <w:b w:val="0"/>
                <w:i w:val="0"/>
                <w:sz w:val="16"/>
              </w:rPr>
              <w:t>NCBI</w:t>
            </w:r>
          </w:p>
        </w:tc>
        <w:tc>
          <w:tcPr>
            <w:tcW w:type="dxa" w:w="2611"/>
          </w:tcPr>
          <w:p>
            <w:pPr>
              <w:spacing w:after="0" w:line="240" w:lineRule="auto"/>
            </w:pPr>
            <w:r>
              <w:rPr>
                <w:b w:val="0"/>
                <w:i w:val="0"/>
                <w:sz w:val="16"/>
              </w:rPr>
              <w:t>https://github.com/ncbi/sra-tools</w:t>
            </w:r>
          </w:p>
        </w:tc>
      </w:tr>
      <w:tr>
        <w:tc>
          <w:tcPr>
            <w:tcW w:type="dxa" w:w="4352"/>
          </w:tcPr>
          <w:p>
            <w:pPr>
              <w:spacing w:after="0" w:line="240" w:lineRule="auto"/>
            </w:pPr>
            <w:r>
              <w:rPr>
                <w:b w:val="0"/>
                <w:i w:val="0"/>
                <w:sz w:val="16"/>
              </w:rPr>
              <w:t>Geneious Prime 2026.1.2 (comparison only)</w:t>
            </w:r>
          </w:p>
        </w:tc>
        <w:tc>
          <w:tcPr>
            <w:tcW w:type="dxa" w:w="2901"/>
          </w:tcPr>
          <w:p>
            <w:pPr>
              <w:spacing w:after="0" w:line="240" w:lineRule="auto"/>
            </w:pPr>
            <w:r>
              <w:rPr>
                <w:b w:val="0"/>
                <w:i w:val="0"/>
                <w:sz w:val="16"/>
              </w:rPr>
              <w:t>Kearse et al.</w:t>
            </w:r>
            <w:hyperlink w:anchor="ref_19" w:history="1">
              <w:r>
                <w:rPr>
                  <w:i w:val="0"/>
                  <w:color w:val="1F5FA8"/>
                  <w:sz w:val="16"/>
                  <w:vertAlign w:val="superscript"/>
                </w:rPr>
                <w:t>19</w:t>
              </w:r>
            </w:hyperlink>
          </w:p>
        </w:tc>
        <w:tc>
          <w:tcPr>
            <w:tcW w:type="dxa" w:w="2611"/>
          </w:tcPr>
          <w:p>
            <w:pPr>
              <w:spacing w:after="0" w:line="240" w:lineRule="auto"/>
            </w:pPr>
            <w:r>
              <w:rPr>
                <w:b w:val="0"/>
                <w:i w:val="0"/>
                <w:sz w:val="16"/>
              </w:rPr>
              <w:t>https://www.geneious.com</w:t>
            </w:r>
          </w:p>
        </w:tc>
      </w:tr>
      <w:tr>
        <w:tc>
          <w:tcPr>
            <w:tcW w:type="dxa" w:w="4352"/>
          </w:tcPr>
          <w:p>
            <w:pPr>
              <w:spacing w:after="0" w:line="240" w:lineRule="auto"/>
            </w:pPr>
            <w:r>
              <w:rPr>
                <w:b/>
                <w:i w:val="0"/>
                <w:sz w:val="16"/>
              </w:rPr>
              <w:t>Other</w:t>
            </w:r>
          </w:p>
        </w:tc>
        <w:tc>
          <w:tcPr>
            <w:tcW w:type="dxa" w:w="2901"/>
          </w:tcPr>
          <w:p>
            <w:pPr>
              <w:spacing w:after="0" w:line="240" w:lineRule="auto"/>
            </w:pPr>
          </w:p>
        </w:tc>
        <w:tc>
          <w:tcPr>
            <w:tcW w:type="dxa" w:w="2611"/>
          </w:tcPr>
          <w:p>
            <w:pPr>
              <w:spacing w:after="0" w:line="240" w:lineRule="auto"/>
            </w:pPr>
          </w:p>
        </w:tc>
      </w:tr>
      <w:tr>
        <w:tc>
          <w:tcPr>
            <w:tcW w:type="dxa" w:w="4352"/>
          </w:tcPr>
          <w:p>
            <w:pPr>
              <w:spacing w:after="0" w:line="240" w:lineRule="auto"/>
            </w:pPr>
            <w:r>
              <w:rPr>
                <w:b w:val="0"/>
                <w:i w:val="0"/>
                <w:sz w:val="16"/>
              </w:rPr>
              <w:t>R10.4.1 flow cells, Ligation Sequencing Kit V14 (via provider)</w:t>
            </w:r>
          </w:p>
        </w:tc>
        <w:tc>
          <w:tcPr>
            <w:tcW w:type="dxa" w:w="2901"/>
          </w:tcPr>
          <w:p>
            <w:pPr>
              <w:spacing w:after="0" w:line="240" w:lineRule="auto"/>
            </w:pPr>
            <w:r>
              <w:rPr>
                <w:b w:val="0"/>
                <w:i w:val="0"/>
                <w:sz w:val="16"/>
              </w:rPr>
              <w:t>Oxford Nanopore Technologies</w:t>
            </w:r>
          </w:p>
        </w:tc>
        <w:tc>
          <w:tcPr>
            <w:tcW w:type="dxa" w:w="2611"/>
          </w:tcPr>
          <w:p>
            <w:pPr>
              <w:spacing w:after="0" w:line="240" w:lineRule="auto"/>
            </w:pPr>
            <w:r>
              <w:rPr>
                <w:b w:val="0"/>
                <w:i w:val="0"/>
                <w:sz w:val="16"/>
              </w:rPr>
              <w:t>N/A</w:t>
            </w:r>
          </w:p>
        </w:tc>
      </w:tr>
    </w:tbl>
    <w:p>
      <w:pPr>
        <w:keepNext/>
        <w:spacing w:before="160"/>
      </w:pPr>
      <w:r>
        <w:rPr>
          <w:b/>
          <w:i w:val="0"/>
          <w:sz w:val="23"/>
        </w:rPr>
        <w:t>Experimental model and study participant details</w:t>
      </w:r>
    </w:p>
    <w:p>
      <w:pPr>
        <w:keepNext/>
        <w:spacing w:before="160"/>
      </w:pPr>
      <w:r>
        <w:rPr>
          <w:b/>
          <w:i w:val="0"/>
          <w:sz w:val="22"/>
        </w:rPr>
        <w:t>Mice</w:t>
      </w:r>
    </w:p>
    <w:p>
      <w:r>
        <w:rPr>
          <w:b w:val="0"/>
          <w:i w:val="0"/>
        </w:rPr>
        <w:t xml:space="preserve">Four-month-old Wt and </w:t>
      </w:r>
      <w:r>
        <w:rPr>
          <w:i/>
        </w:rPr>
        <w:t>Aicda</w:t>
      </w:r>
      <w:r>
        <w:rPr>
          <w:i w:val="0"/>
          <w:vertAlign w:val="superscript"/>
        </w:rPr>
        <w:t>−/−</w:t>
      </w:r>
      <w:r>
        <w:rPr>
          <w:b w:val="0"/>
          <w:i w:val="0"/>
        </w:rPr>
        <w:t xml:space="preserve"> mice were maintained on a predominantly C57BL/6 background. Both sexes were included (n = 3 per genotype; [sex of each of the 6 J</w:t>
      </w:r>
      <w:r>
        <w:rPr>
          <w:i w:val="0"/>
          <w:vertAlign w:val="subscript"/>
        </w:rPr>
        <w:t>H</w:t>
      </w:r>
      <w:r>
        <w:rPr>
          <w:b w:val="0"/>
          <w:i w:val="0"/>
        </w:rPr>
        <w:t>4 mice (e.g. Wt2 M, Wt3 F, ...)]), but sex-specific effects were not evaluated. The J</w:t>
      </w:r>
      <w:r>
        <w:rPr>
          <w:i w:val="0"/>
          <w:vertAlign w:val="subscript"/>
        </w:rPr>
        <w:t>H</w:t>
      </w:r>
      <w:r>
        <w:rPr>
          <w:b w:val="0"/>
          <w:i w:val="0"/>
        </w:rPr>
        <w:t>4 comparison used the same mice previously analyzed by cloned-amplicon Sanger sequencing</w:t>
      </w:r>
      <w:hyperlink w:anchor="ref_34" w:history="1">
        <w:r>
          <w:rPr>
            <w:i w:val="0"/>
            <w:color w:val="1F5FA8"/>
            <w:vertAlign w:val="superscript"/>
          </w:rPr>
          <w:t>34</w:t>
        </w:r>
      </w:hyperlink>
      <w:r>
        <w:rPr>
          <w:b w:val="0"/>
          <w:i w:val="0"/>
        </w:rPr>
        <w:t xml:space="preserve"> to permit paired platform assessment. Procedures were approved by the University of Toronto Animal Care Committee (protocol 20011472).</w:t>
      </w:r>
    </w:p>
    <w:p>
      <w:pPr>
        <w:keepNext/>
        <w:spacing w:before="160"/>
      </w:pPr>
      <w:r>
        <w:rPr>
          <w:b/>
          <w:i w:val="0"/>
          <w:sz w:val="22"/>
        </w:rPr>
        <w:t>Cell lines</w:t>
      </w:r>
    </w:p>
    <w:p>
      <w:r>
        <w:rPr>
          <w:b w:val="0"/>
          <w:i w:val="0"/>
        </w:rPr>
        <w:t>N114 authentication: [how the N114 hybridoma was authenticated, or 'not authenticated']. Mycoplasma status: [N114 mycoplasma testing result and date, or 'not tested']. Cells</w:t>
      </w:r>
      <w:hyperlink w:anchor="ref_45" w:history="1">
        <w:r>
          <w:rPr>
            <w:i w:val="0"/>
            <w:color w:val="1F5FA8"/>
            <w:vertAlign w:val="superscript"/>
          </w:rPr>
          <w:t>45</w:t>
        </w:r>
      </w:hyperlink>
      <w:r>
        <w:rPr>
          <w:i w:val="0"/>
          <w:vertAlign w:val="superscript"/>
        </w:rPr>
        <w:t>,</w:t>
      </w:r>
      <w:hyperlink w:anchor="ref_49" w:history="1">
        <w:r>
          <w:rPr>
            <w:i w:val="0"/>
            <w:color w:val="1F5FA8"/>
            <w:vertAlign w:val="superscript"/>
          </w:rPr>
          <w:t>49</w:t>
        </w:r>
      </w:hyperlink>
      <w:r>
        <w:rPr>
          <w:b w:val="0"/>
          <w:i w:val="0"/>
        </w:rPr>
        <w:t xml:space="preserve"> were retrovirally transduced with pMX-</w:t>
      </w:r>
      <w:r>
        <w:rPr>
          <w:i/>
        </w:rPr>
        <w:t>Aicda</w:t>
      </w:r>
      <w:r>
        <w:rPr>
          <w:b w:val="0"/>
          <w:i w:val="0"/>
        </w:rP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pPr>
        <w:keepNext/>
        <w:spacing w:before="160"/>
      </w:pPr>
      <w:r>
        <w:rPr>
          <w:b/>
          <w:i w:val="0"/>
          <w:sz w:val="23"/>
        </w:rPr>
        <w:t>Method details</w:t>
      </w:r>
    </w:p>
    <w:p>
      <w:pPr>
        <w:keepNext/>
        <w:spacing w:before="160"/>
      </w:pPr>
      <w:r>
        <w:rPr>
          <w:b/>
          <w:i w:val="0"/>
          <w:sz w:val="22"/>
        </w:rPr>
        <w:t>Germinal-center B cell isolation and DNA extraction</w:t>
      </w:r>
    </w:p>
    <w:p>
      <w:r>
        <w:rPr>
          <w:b w:val="0"/>
          <w:i w:val="0"/>
        </w:rPr>
        <w:t>Peyer's patches were harvested post-mortem into cold FACS buffer ([FACS buffer composition, e.g. PBS with 2% fetal bovine serum]) and dissociated into single-cell suspensions by pressing them 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i w:val="0"/>
          <w:vertAlign w:val="superscript"/>
        </w:rPr>
        <w:t>+</w:t>
      </w:r>
      <w:r>
        <w:rPr>
          <w:b w:val="0"/>
          <w:i w:val="0"/>
        </w:rPr>
        <w:t>GL7</w:t>
      </w:r>
      <w:r>
        <w:rPr>
          <w:i w:val="0"/>
          <w:vertAlign w:val="superscript"/>
        </w:rPr>
        <w:t>+</w:t>
      </w:r>
      <w:r>
        <w:rPr>
          <w:b w:val="0"/>
          <w:i w:val="0"/>
        </w:rPr>
        <w:t>Fas</w:t>
      </w:r>
      <w:r>
        <w:rPr>
          <w:i w:val="0"/>
          <w:vertAlign w:val="superscript"/>
        </w:rPr>
        <w:t>+</w:t>
      </w:r>
      <w:r>
        <w:rPr>
          <w:b w:val="0"/>
          <w:i w:val="0"/>
        </w:rPr>
        <w:t xml:space="preserve">) were isolated by fluorescence-activated cell sorting on a BD FACSymphony S6 SE or FACSAria II, collecting approximately 10,000 cells per mouse; wild-type and </w:t>
      </w:r>
      <w:r>
        <w:rPr>
          <w:i/>
        </w:rPr>
        <w:t>Aicda</w:t>
      </w:r>
      <w:r>
        <w:rPr>
          <w:i w:val="0"/>
          <w:vertAlign w:val="superscript"/>
        </w:rPr>
        <w:t>−/−</w:t>
      </w:r>
      <w:r>
        <w:rPr>
          <w:b w:val="0"/>
          <w:i w:val="0"/>
        </w:rPr>
        <w:t xml:space="preserve"> mice were processed on the same day with the same reagents, so that genotype is not confounded with handling. Genomic DNA was released from the sorted cells, or from 5 × 10</w:t>
      </w:r>
      <w:r>
        <w:rPr>
          <w:i w:val="0"/>
          <w:vertAlign w:val="superscript"/>
        </w:rPr>
        <w:t>6</w:t>
      </w:r>
      <w:r>
        <w:rPr>
          <w:b w:val="0"/>
          <w:i w:val="0"/>
        </w:rPr>
        <w:t xml:space="preserve"> hybridoma cells, by proteinase K digestion (55 °C overnight, then 95 °C for 15 min; [lysis buffer and volume to confirm]), and lysate quality was checked by A260/280 and A260/230 ratios.</w:t>
      </w:r>
    </w:p>
    <w:p>
      <w:pPr>
        <w:keepNext/>
        <w:spacing w:before="160"/>
      </w:pPr>
      <w:r>
        <w:rPr>
          <w:b/>
          <w:i w:val="0"/>
          <w:sz w:val="22"/>
        </w:rPr>
        <w:t>Amplification and sequencing</w:t>
      </w:r>
    </w:p>
    <w:p>
      <w:r>
        <w:rPr>
          <w:b w:val="0"/>
          <w:i w:val="0"/>
        </w:rP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5" w:history="1">
        <w:r>
          <w:rPr>
            <w:i w:val="0"/>
            <w:color w:val="1F5FA8"/>
            <w:vertAlign w:val="superscript"/>
          </w:rPr>
          <w:t>45</w:t>
        </w:r>
      </w:hyperlink>
      <w:r>
        <w:rPr>
          <w:b w:val="0"/>
          <w:i w:val="0"/>
        </w:rPr>
        <w:t>. Sequencing supersedes that readout: the analysis here measures mutation across the whole V region rather than reversion at one codon, and is made against the line's own reference throughout, which carries the stop; the V region is called N114 V</w:t>
      </w:r>
      <w:r>
        <w:rPr>
          <w:i w:val="0"/>
          <w:vertAlign w:val="subscript"/>
        </w:rPr>
        <w:t>H</w:t>
      </w:r>
      <w:r>
        <w:rPr>
          <w:b w:val="0"/>
          <w:i w:val="0"/>
        </w:rPr>
        <w:t xml:space="preserve"> rather than by an allele. The 1,230-bp J</w:t>
      </w:r>
      <w:r>
        <w:rPr>
          <w:i w:val="0"/>
          <w:vertAlign w:val="subscript"/>
        </w:rPr>
        <w:t>H</w:t>
      </w:r>
      <w:r>
        <w:rPr>
          <w:b w:val="0"/>
          <w:i w:val="0"/>
        </w:rPr>
        <w:t>4 intron amplicon</w:t>
      </w:r>
      <w:hyperlink w:anchor="ref_8" w:history="1">
        <w:r>
          <w:rPr>
            <w:i w:val="0"/>
            <w:color w:val="1F5FA8"/>
            <w:vertAlign w:val="superscript"/>
          </w:rPr>
          <w:t>8</w:t>
        </w:r>
      </w:hyperlink>
      <w:r>
        <w:rPr>
          <w:i w:val="0"/>
          <w:vertAlign w:val="superscript"/>
        </w:rPr>
        <w:t>,</w:t>
      </w:r>
      <w:hyperlink w:anchor="ref_33" w:history="1">
        <w:r>
          <w:rPr>
            <w:i w:val="0"/>
            <w:color w:val="1F5FA8"/>
            <w:vertAlign w:val="superscript"/>
          </w:rPr>
          <w:t>33</w:t>
        </w:r>
      </w:hyperlink>
      <w:r>
        <w:rPr>
          <w:b w:val="0"/>
          <w:i w:val="0"/>
        </w:rPr>
        <w:t xml:space="preserve"> and the 655-bp N114 V-region amplicon</w:t>
      </w:r>
      <w:hyperlink w:anchor="ref_45" w:history="1">
        <w:r>
          <w:rPr>
            <w:i w:val="0"/>
            <w:color w:val="1F5FA8"/>
            <w:vertAlign w:val="superscript"/>
          </w:rPr>
          <w:t>45</w:t>
        </w:r>
      </w:hyperlink>
      <w:r>
        <w:rPr>
          <w:b w:val="0"/>
          <w:i w:val="0"/>
        </w:rP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i w:val="0"/>
          <w:vertAlign w:val="subscript"/>
        </w:rPr>
        <w:t>H</w:t>
      </w:r>
      <w:r>
        <w:rPr>
          <w:b w:val="0"/>
          <w:i w:val="0"/>
        </w:rPr>
        <w:t>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For the Sanger benchmark, J</w:t>
      </w:r>
      <w:r>
        <w:rPr>
          <w:i w:val="0"/>
          <w:vertAlign w:val="subscript"/>
        </w:rPr>
        <w:t>H</w:t>
      </w:r>
      <w:r>
        <w:rPr>
          <w:b w:val="0"/>
          <w:i w:val="0"/>
        </w:rPr>
        <w:t>4 amplicons from separate PCRs of the same DNA had been cloned and sequenced</w:t>
      </w:r>
      <w:hyperlink w:anchor="ref_34" w:history="1">
        <w:r>
          <w:rPr>
            <w:i w:val="0"/>
            <w:color w:val="1F5FA8"/>
            <w:vertAlign w:val="superscript"/>
          </w:rPr>
          <w:t>34</w:t>
        </w:r>
      </w:hyperlink>
      <w:r>
        <w:rPr>
          <w:b w:val="0"/>
          <w:i w:val="0"/>
        </w:rPr>
        <w:t>. Of the 447 chromatograms in that archive, which also covers other mice of that study, 184 were filed to the six mice sequenced here and re-analyzed; 134 returned analyzable clones (</w:t>
      </w:r>
      <w:hyperlink w:anchor="fig_S13" w:history="1">
        <w:r>
          <w:rPr>
            <w:b w:val="0"/>
            <w:i w:val="0"/>
            <w:color w:val="1F5FA8"/>
          </w:rPr>
          <w:t>Figure S13</w:t>
        </w:r>
      </w:hyperlink>
      <w:r>
        <w:rPr>
          <w:b w:val="0"/>
          <w:i w:val="0"/>
        </w:rPr>
        <w:t>).</w:t>
      </w:r>
    </w:p>
    <w:p>
      <w:pPr>
        <w:keepNext/>
        <w:spacing w:before="160"/>
      </w:pPr>
      <w:r>
        <w:rPr>
          <w:b/>
          <w:i w:val="0"/>
          <w:sz w:val="22"/>
        </w:rPr>
        <w:t>Read preparation</w:t>
      </w:r>
    </w:p>
    <w:p>
      <w:r>
        <w:rPr>
          <w:b w:val="0"/>
          <w:i w:val="0"/>
        </w:rPr>
        <w:t>SHMtrace reads FASTQ files, which may be gzipped or, for Illumina data, paired files that are merged on their overlap. Reads are then processed in the following order. First, reads longer than a locus-specific limit (2,000 bp for J</w:t>
      </w:r>
      <w:r>
        <w:rPr>
          <w:i w:val="0"/>
          <w:vertAlign w:val="subscript"/>
        </w:rPr>
        <w:t>H</w:t>
      </w:r>
      <w:r>
        <w:rPr>
          <w:b w:val="0"/>
          <w:i w:val="0"/>
        </w:rPr>
        <w:t>4 and 900 bp for N114 V</w:t>
      </w:r>
      <w:r>
        <w:rPr>
          <w:i w:val="0"/>
          <w:vertAlign w:val="subscript"/>
        </w:rPr>
        <w:t>H</w:t>
      </w:r>
      <w:r>
        <w:rPr>
          <w:b w:val="0"/>
          <w:i w:val="0"/>
        </w:rPr>
        <w:t>) are removed, as are reads with a mean expected error above 0.01 per base, calculated from Phred qualities</w:t>
      </w:r>
      <w:hyperlink w:anchor="ref_28" w:history="1">
        <w:r>
          <w:rPr>
            <w:i w:val="0"/>
            <w:color w:val="1F5FA8"/>
            <w:vertAlign w:val="superscript"/>
          </w:rPr>
          <w:t>28</w:t>
        </w:r>
      </w:hyperlink>
      <w:r>
        <w:rPr>
          <w:b w:val="0"/>
          <w:i w:val="0"/>
        </w:rP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i w:val="0"/>
          <w:vertAlign w:val="subscript"/>
        </w:rPr>
        <w:t>H</w:t>
      </w:r>
      <w:r>
        <w:rPr>
          <w:b w:val="0"/>
          <w:i w:val="0"/>
        </w:rPr>
        <w:t>4 and 400 bp for N114 V</w:t>
      </w:r>
      <w:r>
        <w:rPr>
          <w:i w:val="0"/>
          <w:vertAlign w:val="subscript"/>
        </w:rPr>
        <w:t>H</w:t>
      </w:r>
      <w:r>
        <w:rPr>
          <w:b w:val="0"/>
          <w:i w:val="0"/>
        </w:rPr>
        <w:t>) are removed. For J</w:t>
      </w:r>
      <w:r>
        <w:rPr>
          <w:i w:val="0"/>
          <w:vertAlign w:val="subscript"/>
        </w:rPr>
        <w:t>H</w:t>
      </w:r>
      <w:r>
        <w:rPr>
          <w:b w:val="0"/>
          <w:i w:val="0"/>
        </w:rPr>
        <w:t>4, the competing references were a J</w:t>
      </w:r>
      <w:r>
        <w:rPr>
          <w:i w:val="0"/>
          <w:vertAlign w:val="subscript"/>
        </w:rPr>
        <w:t>H</w:t>
      </w:r>
      <w:r>
        <w:rPr>
          <w:b w:val="0"/>
          <w:i w:val="0"/>
        </w:rP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i w:val="0"/>
          <w:vertAlign w:val="subscript"/>
        </w:rPr>
        <w:t>H</w:t>
      </w:r>
      <w:r>
        <w:rPr>
          <w:b w:val="0"/>
          <w:i w:val="0"/>
        </w:rPr>
        <w:t>4 reads carry 0–7 such bases, whereas paralog reads and chimeras carry 11–62. The fate of every read is recorded. Usable reads were then downsampled at random with a fixed seed (Python random, seed 0) to the analysis depth: 500 reads for J</w:t>
      </w:r>
      <w:r>
        <w:rPr>
          <w:i w:val="0"/>
          <w:vertAlign w:val="subscript"/>
        </w:rPr>
        <w:t>H</w:t>
      </w:r>
      <w:r>
        <w:rPr>
          <w:b w:val="0"/>
          <w:i w:val="0"/>
        </w:rPr>
        <w:t>4 and N114 V</w:t>
      </w:r>
      <w:r>
        <w:rPr>
          <w:i w:val="0"/>
          <w:vertAlign w:val="subscript"/>
        </w:rPr>
        <w:t>H</w:t>
      </w:r>
      <w:r>
        <w:rPr>
          <w:b w:val="0"/>
          <w:i w:val="0"/>
        </w:rPr>
        <w:t xml:space="preserve"> and 2,000 reads for the IRCM loci. The analysis windows were positions 101–629 (529 bp, the window shared with Sanger) or 90–1,230 (full length) of the J</w:t>
      </w:r>
      <w:r>
        <w:rPr>
          <w:i w:val="0"/>
          <w:vertAlign w:val="subscript"/>
        </w:rPr>
        <w:t>H</w:t>
      </w:r>
      <w:r>
        <w:rPr>
          <w:b w:val="0"/>
          <w:i w:val="0"/>
        </w:rPr>
        <w:t>4 reference and positions 21–635 of the N114 V</w:t>
      </w:r>
      <w:r>
        <w:rPr>
          <w:i w:val="0"/>
          <w:vertAlign w:val="subscript"/>
        </w:rPr>
        <w:t>H</w:t>
      </w:r>
      <w:r>
        <w:rPr>
          <w:b w:val="0"/>
          <w:i w:val="0"/>
        </w:rPr>
        <w:t xml:space="preserve"> reference. For loci whose window is not set by a preset, it runs from position 21 to 20 bases before the reference's end: Sμ 21–631 (611 bp), </w:t>
      </w:r>
      <w:r>
        <w:rPr>
          <w:i/>
        </w:rPr>
        <w:t>Pim1</w:t>
      </w:r>
      <w:r>
        <w:rPr>
          <w:b w:val="0"/>
          <w:i w:val="0"/>
        </w:rPr>
        <w:t xml:space="preserve"> 21–882 (862 bp), off-target 1 21–988 (968 bp) and off-target 2 21–962 (942 bp). Reads that align better to a paralog, are chimeric or carry paralog-specific bases are removed, and the same number of usable reads is then drawn from every library. Read preparation removed 67% of delivered J</w:t>
      </w:r>
      <w:r>
        <w:rPr>
          <w:i w:val="0"/>
          <w:vertAlign w:val="subscript"/>
        </w:rPr>
        <w:t>H</w:t>
      </w:r>
      <w:r>
        <w:rPr>
          <w:b w:val="0"/>
          <w:i w:val="0"/>
        </w:rPr>
        <w:t>4 reads overall (</w:t>
      </w:r>
      <w:hyperlink w:anchor="fig_S1" w:history="1">
        <w:r>
          <w:rPr>
            <w:b w:val="0"/>
            <w:i w:val="0"/>
            <w:color w:val="1F5FA8"/>
          </w:rPr>
          <w:t>Figure S1E</w:t>
        </w:r>
      </w:hyperlink>
      <w:r>
        <w:rPr>
          <w:b w:val="0"/>
          <w:i w:val="0"/>
        </w:rPr>
        <w:t>), and competitive alignment alone was not enough: without an additional paralog-base filter, simulated paralog reads produced 35–54 false variants per library.</w:t>
      </w:r>
    </w:p>
    <w:p>
      <w:pPr>
        <w:keepNext/>
        <w:spacing w:before="160"/>
      </w:pPr>
      <w:r>
        <w:rPr>
          <w:b/>
          <w:i w:val="0"/>
          <w:sz w:val="22"/>
        </w:rPr>
        <w:t>Control-calibrated variant calling</w:t>
      </w:r>
    </w:p>
    <w:p>
      <w:r>
        <w:rPr>
          <w:b w:val="0"/>
          <w:i w:val="0"/>
        </w:rP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i w:val="0"/>
          <w:vertAlign w:val="subscript"/>
        </w:rPr>
        <w:t>1</w:t>
      </w:r>
      <w:r>
        <w:rPr>
          <w:b w:val="0"/>
          <w:i w:val="0"/>
        </w:rPr>
        <w:t xml:space="preserve"> ≥ q</w:t>
      </w:r>
      <w:r>
        <w:rPr>
          <w:i w:val="0"/>
          <w:vertAlign w:val="subscript"/>
        </w:rPr>
        <w:t>2</w:t>
      </w:r>
      <w:r>
        <w:rPr>
          <w:b w:val="0"/>
          <w:i w:val="0"/>
        </w:rPr>
        <w:t xml:space="preserve"> ≥ …, the test evaluates, for each j ≤ k, the probability of at least j errors with quality ≥qj, using strand-specific depth and control rates multiplied by margin c. The reported p value is the smallest tail probability multiplied by k.</w:t>
      </w:r>
    </w:p>
    <w:p>
      <w:r>
        <w:rPr>
          <w:b w:val="0"/>
          <w:i w:val="0"/>
        </w:rPr>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i w:val="0"/>
          <w:vertAlign w:val="subscript"/>
        </w:rPr>
        <w:t>H</w:t>
      </w:r>
      <w:r>
        <w:rPr>
          <w:b w:val="0"/>
          <w:i w:val="0"/>
        </w:rPr>
        <w:t>4, 10× on the full length, and 10× on N114 V</w:t>
      </w:r>
      <w:r>
        <w:rPr>
          <w:i w:val="0"/>
          <w:vertAlign w:val="subscript"/>
        </w:rPr>
        <w:t>H</w:t>
      </w:r>
      <w:r>
        <w:rPr>
          <w:b w:val="0"/>
          <w:i w:val="0"/>
        </w:rP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i w:val="0"/>
            <w:color w:val="1F5FA8"/>
            <w:vertAlign w:val="superscript"/>
          </w:rPr>
          <w:t>30</w:t>
        </w:r>
      </w:hyperlink>
      <w:r>
        <w:rPr>
          <w:b w:val="0"/>
          <w:i w:val="0"/>
        </w:rP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i w:val="0"/>
          <w:vertAlign w:val="subscript"/>
        </w:rPr>
        <w:t>H</w:t>
      </w:r>
      <w:r>
        <w:rPr>
          <w:b w:val="0"/>
          <w:i w:val="0"/>
        </w:rPr>
        <w:t>4 and N114 V</w:t>
      </w:r>
      <w:r>
        <w:rPr>
          <w:i w:val="0"/>
          <w:vertAlign w:val="subscript"/>
        </w:rPr>
        <w:t>H</w:t>
      </w:r>
      <w:r>
        <w:rPr>
          <w:b w:val="0"/>
          <w:i w:val="0"/>
        </w:rP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b w:val="0"/>
            <w:i w:val="0"/>
            <w:color w:val="1F5FA8"/>
          </w:rPr>
          <w:t>Figure 7D</w:t>
        </w:r>
      </w:hyperlink>
      <w:r>
        <w:rPr>
          <w:b w:val="0"/>
          <w:i w:val="0"/>
        </w:rPr>
        <w:t xml:space="preserve">, in which a single </w:t>
      </w:r>
      <w:r>
        <w:rPr>
          <w:i/>
        </w:rPr>
        <w:t>Aicda</w:t>
      </w:r>
      <w:r>
        <w:rPr>
          <w:i w:val="0"/>
          <w:vertAlign w:val="superscript"/>
        </w:rPr>
        <w:t>−/−</w:t>
      </w:r>
      <w:r>
        <w:rPr>
          <w:b w:val="0"/>
          <w:i w:val="0"/>
        </w:rP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50" w:history="1">
        <w:r>
          <w:rPr>
            <w:i w:val="0"/>
            <w:color w:val="1F5FA8"/>
            <w:vertAlign w:val="superscript"/>
          </w:rPr>
          <w:t>50</w:t>
        </w:r>
      </w:hyperlink>
      <w:r>
        <w:rPr>
          <w:b w:val="0"/>
          <w:i w:val="0"/>
        </w:rP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rPr>
          <w:b w:val="0"/>
          <w:i w:val="0"/>
        </w:rPr>
        <w:t xml:space="preserve"> field, so a reader never has to infer it. With </w:t>
      </w:r>
      <w:r>
        <w:rPr>
          <w:b/>
          <w:i w:val="0"/>
        </w:rPr>
        <w:t>no control</w:t>
      </w:r>
      <w:r>
        <w:rPr>
          <w:b w:val="0"/>
          <w:i w:val="0"/>
        </w:rPr>
        <w:t xml:space="preserve"> the background is not measured at all: every candidate is judged from base qualities, the correction is Benjamini–Hochberg, indels are not called, and the run carries a note saying so. With </w:t>
      </w:r>
      <w:r>
        <w:rPr>
          <w:b/>
          <w:i w:val="0"/>
        </w:rPr>
        <w:t>one control</w:t>
      </w:r>
      <w:r>
        <w:rPr>
          <w:b w:val="0"/>
          <w:i w:val="0"/>
        </w:rPr>
        <w:t xml:space="preserve"> that library supplies the error model, but the margin cannot be fitted by leaving a control out and the default of 10, measured on J</w:t>
      </w:r>
      <w:r>
        <w:rPr>
          <w:i w:val="0"/>
          <w:vertAlign w:val="subscript"/>
        </w:rPr>
        <w:t>H</w:t>
      </w:r>
      <w:r>
        <w:rPr>
          <w:b w:val="0"/>
          <w:i w:val="0"/>
        </w:rPr>
        <w:t xml:space="preserve">4, is used; a control cannot be its own decoy, so there is no decoy set and the correction is again Benjamini–Hochberg; the noisy-control rule cannot act, since it needs two others to compare against. With </w:t>
      </w:r>
      <w:r>
        <w:rPr>
          <w:b/>
          <w:i w:val="0"/>
        </w:rPr>
        <w:t>two</w:t>
      </w:r>
      <w:r>
        <w:rPr>
          <w:b w:val="0"/>
          <w:i w:val="0"/>
        </w:rPr>
        <w:t xml:space="preserve"> each is the other's decoy, the margin is fitted but can reach the top of its grid, and a disagreement between the pair is reported without acting on it, because with two there is no majority to say which is wrong. With </w:t>
      </w:r>
      <w:r>
        <w:rPr>
          <w:b/>
          <w:i w:val="0"/>
        </w:rPr>
        <w:t>three or more</w:t>
      </w:r>
      <w:r>
        <w:rPr>
          <w:b w:val="0"/>
          <w:i w:val="0"/>
        </w:rP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4" w:history="1">
        <w:r>
          <w:rPr>
            <w:b w:val="0"/>
            <w:i w:val="0"/>
            <w:color w:val="1F5FA8"/>
          </w:rPr>
          <w:t>Figure S24</w:t>
        </w:r>
      </w:hyperlink>
      <w:r>
        <w:rPr>
          <w:b w:val="0"/>
          <w:i w:val="0"/>
        </w:rPr>
        <w:t xml:space="preserve"> tests selected consequences of these limitations, and </w:t>
      </w:r>
      <w:hyperlink w:anchor="fig_S4" w:history="1">
        <w:r>
          <w:rPr>
            <w:b w:val="0"/>
            <w:i w:val="0"/>
            <w:color w:val="1F5FA8"/>
          </w:rPr>
          <w:t>Figure S4</w:t>
        </w:r>
      </w:hyperlink>
      <w:r>
        <w:rPr>
          <w:b w:val="0"/>
          <w:i w:val="0"/>
        </w:rPr>
        <w:t xml:space="preserve"> compares the target with the realised proportion on planted truth: the default was met when pooled, and targets below it were not; </w:t>
      </w:r>
      <w:hyperlink w:anchor="fig_S5" w:history="1">
        <w:r>
          <w:rPr>
            <w:b w:val="0"/>
            <w:i w:val="0"/>
            <w:color w:val="1F5FA8"/>
          </w:rPr>
          <w:t>Figure S5</w:t>
        </w:r>
      </w:hyperlink>
      <w:r>
        <w:rPr>
          <w:b w:val="0"/>
          <w:i w:val="0"/>
        </w:rP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b w:val="0"/>
            <w:i w:val="0"/>
            <w:color w:val="1F5FA8"/>
          </w:rPr>
          <w:t>Table S7</w:t>
        </w:r>
      </w:hyperlink>
      <w:r>
        <w:rPr>
          <w:b w:val="0"/>
          <w:i w:val="0"/>
        </w:rPr>
        <w:t xml:space="preserve"> compares the default with a target of 0.01 and with the noisiest control's decoy count in place of the mean. At 0.01, false calls in those lineages fell to 3.0 per library but single-read recall fell to 38%; on the planted J</w:t>
      </w:r>
      <w:r>
        <w:rPr>
          <w:i w:val="0"/>
          <w:vertAlign w:val="subscript"/>
        </w:rPr>
        <w:t>H</w:t>
      </w:r>
      <w:r>
        <w:rPr>
          <w:b w:val="0"/>
          <w:i w:val="0"/>
        </w:rPr>
        <w:t>4 controls, recall fell from 81% to 17% without a lower false-discovery proportion (0.061), whereas N114 V</w:t>
      </w:r>
      <w:r>
        <w:rPr>
          <w:i w:val="0"/>
          <w:vertAlign w:val="subscript"/>
        </w:rPr>
        <w:t>H</w:t>
      </w:r>
      <w:r>
        <w:rPr>
          <w:b w:val="0"/>
          <w:i w:val="0"/>
        </w:rPr>
        <w:t xml:space="preserve"> kept 76% recall at 0.005. With three controls, the decoy counts are too coarse to resolve a 1% target reliably. In the J</w:t>
      </w:r>
      <w:r>
        <w:rPr>
          <w:i w:val="0"/>
          <w:vertAlign w:val="subscript"/>
        </w:rPr>
        <w:t>H</w:t>
      </w:r>
      <w:r>
        <w:rPr>
          <w:b w:val="0"/>
          <w:i w:val="0"/>
        </w:rPr>
        <w:t>4 and N114 V</w:t>
      </w:r>
      <w:r>
        <w:rPr>
          <w:i w:val="0"/>
          <w:vertAlign w:val="subscript"/>
        </w:rPr>
        <w:t>H</w:t>
      </w:r>
      <w:r>
        <w:rPr>
          <w:b w:val="0"/>
          <w:i w:val="0"/>
        </w:rP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r>
        <w:rPr>
          <w:b w:val="0"/>
          <w:i w:val="0"/>
        </w:rPr>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i w:val="0"/>
          <w:vertAlign w:val="superscript"/>
        </w:rPr>
        <w:t>−/−</w:t>
      </w:r>
      <w:r>
        <w:rPr>
          <w:i/>
        </w:rPr>
        <w:t>Msh2</w:t>
      </w:r>
      <w:r>
        <w:rPr>
          <w:i w:val="0"/>
          <w:vertAlign w:val="superscript"/>
        </w:rPr>
        <w:t>−/−</w:t>
      </w:r>
      <w:r>
        <w:rPr>
          <w:b w:val="0"/>
          <w:i w:val="0"/>
        </w:rPr>
        <w:t xml:space="preserve"> cells and Ugi/UNG fibroblasts are therefore grounded in the experimental perturbations rather than inferred from spectra alone.</w:t>
      </w:r>
    </w:p>
    <w:p>
      <w:r>
        <w:rPr>
          <w:b w:val="0"/>
          <w:i w:val="0"/>
        </w:rP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pPr>
        <w:keepNext/>
        <w:spacing w:before="160"/>
      </w:pPr>
      <w:r>
        <w:rPr>
          <w:b/>
          <w:i w:val="0"/>
          <w:sz w:val="22"/>
        </w:rPr>
        <w:t>Testing the calling procedure as a whole</w:t>
      </w:r>
    </w:p>
    <w:p>
      <w:r>
        <w:rPr>
          <w:b w:val="0"/>
          <w:i w:val="0"/>
        </w:rPr>
        <w:t xml:space="preserve">End-to-end assessment used partitions and planted mutations from three existing </w:t>
      </w:r>
      <w:r>
        <w:rPr>
          <w:i/>
        </w:rPr>
        <w:t>Aicda</w:t>
      </w:r>
      <w:r>
        <w:rPr>
          <w:i w:val="0"/>
          <w:vertAlign w:val="superscript"/>
        </w:rPr>
        <w:t>−/−</w:t>
      </w:r>
      <w:r>
        <w:rPr>
          <w:b w:val="0"/>
          <w:i w:val="0"/>
        </w:rPr>
        <w:t xml:space="preserve"> J</w:t>
      </w:r>
      <w:r>
        <w:rPr>
          <w:i w:val="0"/>
          <w:vertAlign w:val="subscript"/>
        </w:rPr>
        <w:t>H</w:t>
      </w:r>
      <w:r>
        <w:rPr>
          <w:b w:val="0"/>
          <w:i w:val="0"/>
        </w:rPr>
        <w:t>4 libraries (</w:t>
      </w:r>
      <w:r>
        <w:rPr>
          <w:rFonts w:ascii="Courier New" w:hAnsi="Courier New"/>
          <w:sz w:val="20"/>
        </w:rPr>
        <w:t>crm/fdr_validation.py</w:t>
      </w:r>
      <w:r>
        <w:rPr>
          <w:b w:val="0"/>
          <w:i w:val="0"/>
        </w:rP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rPr>
          <w:b w:val="0"/>
          <w:i w:val="0"/>
        </w:rP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4" w:history="1">
        <w:r>
          <w:rPr>
            <w:b w:val="0"/>
            <w:i w:val="0"/>
            <w:color w:val="1F5FA8"/>
          </w:rPr>
          <w:t>Figure S24</w:t>
        </w:r>
      </w:hyperlink>
      <w:r>
        <w:rPr>
          <w:b w:val="0"/>
          <w:i w:val="0"/>
        </w:rPr>
        <w:t>). These stress tests assess behavior conditional on existing libraries, not transfer to a new run.</w:t>
      </w:r>
    </w:p>
    <w:p>
      <w:r>
        <w:rPr>
          <w:b w:val="0"/>
          <w:i w:val="0"/>
        </w:rP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r>
        <w:rPr>
          <w:b w:val="0"/>
          <w:i w:val="0"/>
        </w:rPr>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r>
        <w:rPr>
          <w:b w:val="0"/>
          <w:i w:val="0"/>
        </w:rPr>
        <w:t xml:space="preserve">The default mean-decoy estimator was compared with </w:t>
      </w:r>
      <w:r>
        <w:rPr>
          <w:rFonts w:ascii="Courier New" w:hAnsi="Courier New"/>
          <w:sz w:val="20"/>
        </w:rPr>
        <w:t>control_decoy_estimate="max"</w:t>
      </w:r>
      <w:r>
        <w:rPr>
          <w:b w:val="0"/>
          <w:i w:val="0"/>
        </w:rPr>
        <w:t>, which requires the threshold to satisfy the noisiest retained decoy (</w:t>
      </w:r>
      <w:r>
        <w:rPr>
          <w:rFonts w:ascii="Courier New" w:hAnsi="Courier New"/>
          <w:sz w:val="20"/>
        </w:rPr>
        <w:t>crm/fdr_estimator.py</w:t>
      </w:r>
      <w:r>
        <w:rPr>
          <w:b w:val="0"/>
          <w:i w:val="0"/>
        </w:rP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r>
        <w:rPr>
          <w:b w:val="0"/>
          <w:i w:val="0"/>
        </w:rPr>
        <w:t xml:space="preserve">Reported runtimes are wall-clock seconds for one </w:t>
      </w:r>
      <w:r>
        <w:rPr>
          <w:rFonts w:ascii="Courier New" w:hAnsi="Courier New"/>
          <w:sz w:val="20"/>
        </w:rPr>
        <w:t>run_project</w:t>
      </w:r>
      <w:r>
        <w:rPr>
          <w:b w:val="0"/>
          <w:i w:val="0"/>
        </w:rP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r>
        <w:rPr>
          <w:b w:val="0"/>
          <w:i w:val="0"/>
        </w:rPr>
        <w:t>The Geneious rule was reproduced as an uncorrected approximate p ≤ 0.05 per candidate, which matched Geneious exports site by site (Jaccard index 0.97–0.98 on Wt J</w:t>
      </w:r>
      <w:r>
        <w:rPr>
          <w:i w:val="0"/>
          <w:vertAlign w:val="subscript"/>
        </w:rPr>
        <w:t>H</w:t>
      </w:r>
      <w:r>
        <w:rPr>
          <w:b w:val="0"/>
          <w:i w:val="0"/>
        </w:rPr>
        <w:t>4).</w:t>
      </w:r>
    </w:p>
    <w:p>
      <w:pPr>
        <w:keepNext/>
        <w:spacing w:before="160"/>
      </w:pPr>
      <w:r>
        <w:rPr>
          <w:b/>
          <w:i w:val="0"/>
          <w:sz w:val="22"/>
        </w:rPr>
        <w:t>What each mutation measure counts</w:t>
      </w:r>
    </w:p>
    <w:p>
      <w:r>
        <w:rPr>
          <w:b w:val="0"/>
          <w:i w:val="0"/>
        </w:rP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i w:val="0"/>
        </w:rPr>
        <w:t>Unique-variant density</w:t>
      </w:r>
      <w:r>
        <w:rPr>
          <w:b w:val="0"/>
          <w:i w:val="0"/>
        </w:rPr>
        <w:t xml:space="preserve"> is D / B × 10</w:t>
      </w:r>
      <w:r>
        <w:rPr>
          <w:i w:val="0"/>
          <w:vertAlign w:val="superscript"/>
        </w:rPr>
        <w:t>5</w:t>
      </w:r>
      <w:r>
        <w:rPr>
          <w:b w:val="0"/>
          <w:i w:val="0"/>
        </w:rP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0" w:history="1">
        <w:r>
          <w:rPr>
            <w:b w:val="0"/>
            <w:i w:val="0"/>
            <w:color w:val="1F5FA8"/>
          </w:rPr>
          <w:t>Figure S10</w:t>
        </w:r>
      </w:hyperlink>
      <w:r>
        <w:rPr>
          <w:b w:val="0"/>
          <w:i w:val="0"/>
        </w:rPr>
        <w:t xml:space="preserve">). </w:t>
      </w:r>
      <w:r>
        <w:rPr>
          <w:b/>
          <w:i w:val="0"/>
        </w:rPr>
        <w:t>Read-weighted mutation frequency</w:t>
      </w:r>
      <w:r>
        <w:rPr>
          <w:b w:val="0"/>
          <w:i w:val="0"/>
        </w:rPr>
        <w:t xml:space="preserve"> is Σ m</w:t>
      </w:r>
      <w:r>
        <w:rPr>
          <w:i w:val="0"/>
          <w:vertAlign w:val="subscript"/>
        </w:rPr>
        <w:t>i</w:t>
      </w:r>
      <w:r>
        <w:rPr>
          <w:b w:val="0"/>
          <w:i w:val="0"/>
        </w:rPr>
        <w:t xml:space="preserve"> / (N × L) × 10</w:t>
      </w:r>
      <w:r>
        <w:rPr>
          <w:i w:val="0"/>
          <w:vertAlign w:val="superscript"/>
        </w:rPr>
        <w:t>3</w:t>
      </w:r>
      <w:r>
        <w:rPr>
          <w:b w:val="0"/>
          <w:i w:val="0"/>
        </w:rPr>
        <w:t>, where m</w:t>
      </w:r>
      <w:r>
        <w:rPr>
          <w:i w:val="0"/>
          <w:vertAlign w:val="subscript"/>
        </w:rPr>
        <w:t>i</w:t>
      </w:r>
      <w:r>
        <w:rPr>
          <w:b w:val="0"/>
          <w:i w:val="0"/>
        </w:rPr>
        <w:t xml:space="preserve"> is the number of called sites read i carries at or above the configured minimum base quality (0 for these read-library analyses), N the reads analyzed 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i w:val="0"/>
          <w:vertAlign w:val="subscript"/>
        </w:rPr>
        <w:t>H</w:t>
      </w:r>
      <w:r>
        <w:rPr>
          <w:b w:val="0"/>
          <w:i w:val="0"/>
        </w:rPr>
        <w:t>4 and N114 V</w:t>
      </w:r>
      <w:r>
        <w:rPr>
          <w:i w:val="0"/>
          <w:vertAlign w:val="subscript"/>
        </w:rPr>
        <w:t>H</w:t>
      </w:r>
      <w:r>
        <w:rPr>
          <w:b w:val="0"/>
          <w:i w:val="0"/>
        </w:rPr>
        <w:t xml:space="preserve"> projects to within 2.4%. </w:t>
      </w:r>
      <w:r>
        <w:rPr>
          <w:b/>
          <w:i w:val="0"/>
        </w:rPr>
        <w:t>Clone-weighted frequency</w:t>
      </w:r>
      <w:r>
        <w:rPr>
          <w:b w:val="0"/>
          <w:i w:val="0"/>
        </w:rPr>
        <w:t xml:space="preserve"> groups reads by their V(D)J junction, keeps a mutation when at least half the reads of its clone carry it (any read of a single-read clone), and is Σ c</w:t>
      </w:r>
      <w:r>
        <w:rPr>
          <w:i w:val="0"/>
          <w:vertAlign w:val="subscript"/>
        </w:rPr>
        <w:t>k</w:t>
      </w:r>
      <w:r>
        <w:rPr>
          <w:b w:val="0"/>
          <w:i w:val="0"/>
        </w:rPr>
        <w:t xml:space="preserve"> / (K × L) × 10</w:t>
      </w:r>
      <w:r>
        <w:rPr>
          <w:i w:val="0"/>
          <w:vertAlign w:val="superscript"/>
        </w:rPr>
        <w:t>3</w:t>
      </w:r>
      <w:r>
        <w:rPr>
          <w:b w:val="0"/>
          <w:i w:val="0"/>
        </w:rPr>
        <w:t xml:space="preserve"> over the K clones, so each clone counts once whatever its size. For wild-type J</w:t>
      </w:r>
      <w:r>
        <w:rPr>
          <w:i w:val="0"/>
          <w:vertAlign w:val="subscript"/>
        </w:rPr>
        <w:t>H</w:t>
      </w:r>
      <w:r>
        <w:rPr>
          <w:b w:val="0"/>
          <w:i w:val="0"/>
        </w:rPr>
        <w:t>4 library Wt2 at 500 reads over the 529-bp window these give 221 unique variants over 263,886 base observations (83.8 × 10</w:t>
      </w:r>
      <w:r>
        <w:rPr>
          <w:i w:val="0"/>
          <w:vertAlign w:val="superscript"/>
        </w:rPr>
        <w:t>−5</w:t>
      </w:r>
      <w:r>
        <w:rPr>
          <w:b w:val="0"/>
          <w:i w:val="0"/>
        </w:rPr>
        <w:t>), 747 read-level mutations over 264,500 bases (2.82 × 10</w:t>
      </w:r>
      <w:r>
        <w:rPr>
          <w:i w:val="0"/>
          <w:vertAlign w:val="superscript"/>
        </w:rPr>
        <w:t>−3</w:t>
      </w:r>
      <w:r>
        <w:rPr>
          <w:b w:val="0"/>
          <w:i w:val="0"/>
        </w:rPr>
        <w:t>), and 207 clonal mutations over 24 clones (16.3 × 10</w:t>
      </w:r>
      <w:r>
        <w:rPr>
          <w:i w:val="0"/>
          <w:vertAlign w:val="superscript"/>
        </w:rPr>
        <w:t>−3</w:t>
      </w:r>
      <w:r>
        <w:rPr>
          <w:b w:val="0"/>
          <w:i w:val="0"/>
        </w:rP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b w:val="0"/>
            <w:i w:val="0"/>
            <w:color w:val="1F5FA8"/>
          </w:rPr>
          <w:t>Table S4</w:t>
        </w:r>
      </w:hyperlink>
      <w:r>
        <w:rPr>
          <w:b w:val="0"/>
          <w:i w:val="0"/>
        </w:rPr>
        <w:t xml:space="preserve"> reports separately.</w:t>
      </w:r>
    </w:p>
    <w:p>
      <w:r>
        <w:rPr>
          <w:b w:val="0"/>
          <w:i w:val="0"/>
        </w:rP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i w:val="0"/>
          <w:vertAlign w:val="subscript"/>
        </w:rPr>
        <w:t>H</w:t>
      </w:r>
      <w:r>
        <w:rPr>
          <w:b w:val="0"/>
          <w:i w:val="0"/>
        </w:rPr>
        <w:t>4.</w:t>
      </w:r>
    </w:p>
    <w:p>
      <w:pPr>
        <w:keepNext/>
        <w:spacing w:before="160"/>
      </w:pPr>
      <w:r>
        <w:rPr>
          <w:b/>
          <w:i w:val="0"/>
          <w:sz w:val="22"/>
        </w:rPr>
        <w:t>Single-read estimate, clones, mutation trees, and quality checks</w:t>
      </w:r>
    </w:p>
    <w:p>
      <w:r>
        <w:rPr>
          <w:b w:val="0"/>
          <w:i w:val="0"/>
        </w:rP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r>
        <w:rPr>
          <w:b w:val="0"/>
          <w:i w:val="0"/>
        </w:rPr>
        <w:t xml:space="preserve">Two different things are called a clone in this field, and this paper keeps them apart. A </w:t>
      </w:r>
      <w:r>
        <w:rPr>
          <w:i/>
        </w:rPr>
        <w:t>Sanger clone</w:t>
      </w:r>
      <w:r>
        <w:rPr>
          <w:b w:val="0"/>
          <w:i w:val="0"/>
        </w:rP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rPr>
          <w:b w:val="0"/>
          <w:i w:val="0"/>
        </w:rP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i w:val="0"/>
          <w:vertAlign w:val="subscript"/>
        </w:rPr>
        <w:t>H</w:t>
      </w:r>
      <w:r>
        <w:rPr>
          <w:b w:val="0"/>
          <w:i w:val="0"/>
        </w:rPr>
        <w:t>4 intron do not span the junction, so B cell clones cannot be identified in them, and clone-weighted frequencies are reported only for the nanopore libraries.</w:t>
      </w:r>
    </w:p>
    <w:p>
      <w:r>
        <w:rPr>
          <w:b w:val="0"/>
          <w:i w:val="0"/>
        </w:rPr>
        <w:t>Junction grouping uses the twenty bases immediately upstream of alignment starts occurring within 18 bp of J</w:t>
      </w:r>
      <w:r>
        <w:rPr>
          <w:i w:val="0"/>
          <w:vertAlign w:val="subscript"/>
        </w:rPr>
        <w:t>H</w:t>
      </w:r>
      <w:r>
        <w:rPr>
          <w:b w:val="0"/>
          <w:i w:val="0"/>
        </w:rP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 Overall, 70% of mutated reads fitted one tree, and 7/1,128 mutation pairs failed the four-gamete test.</w:t>
      </w:r>
    </w:p>
    <w:p>
      <w:r>
        <w:rPr>
          <w:b w:val="0"/>
          <w:i w:val="0"/>
        </w:rPr>
        <w:t>The targeting index is mean S5F mutability</w:t>
      </w:r>
      <w:hyperlink w:anchor="ref_23" w:history="1">
        <w:r>
          <w:rPr>
            <w:i w:val="0"/>
            <w:color w:val="1F5FA8"/>
            <w:vertAlign w:val="superscript"/>
          </w:rPr>
          <w:t>23</w:t>
        </w:r>
      </w:hyperlink>
      <w:r>
        <w:rPr>
          <w:b w:val="0"/>
          <w:i w:val="0"/>
        </w:rP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i w:val="0"/>
          <w:vertAlign w:val="superscript"/>
        </w:rPr>
        <w:t>−3</w:t>
      </w:r>
      <w:r>
        <w:rPr>
          <w:b w:val="0"/>
          <w:i w:val="0"/>
        </w:rPr>
        <w:t xml:space="preserve">). </w:t>
      </w:r>
      <w:hyperlink w:anchor="fig_S22" w:history="1">
        <w:r>
          <w:rPr>
            <w:b w:val="0"/>
            <w:i w:val="0"/>
            <w:color w:val="1F5FA8"/>
          </w:rPr>
          <w:t>Figure S22</w:t>
        </w:r>
      </w:hyperlink>
      <w:r>
        <w:rPr>
          <w:b w:val="0"/>
          <w:i w:val="0"/>
        </w:rPr>
        <w:t xml:space="preserve"> summarizes the workflow; </w:t>
      </w:r>
      <w:hyperlink w:anchor="fig_S23" w:history="1">
        <w:r>
          <w:rPr>
            <w:b w:val="0"/>
            <w:i w:val="0"/>
            <w:color w:val="1F5FA8"/>
          </w:rPr>
          <w:t>Figure S23</w:t>
        </w:r>
      </w:hyperlink>
      <w:r>
        <w:rPr>
          <w:b w:val="0"/>
          <w:i w:val="0"/>
        </w:rPr>
        <w:t xml:space="preserve"> illustrates the analytical rules using J</w:t>
      </w:r>
      <w:r>
        <w:rPr>
          <w:i w:val="0"/>
          <w:vertAlign w:val="subscript"/>
        </w:rPr>
        <w:t>H</w:t>
      </w:r>
      <w:r>
        <w:rPr>
          <w:b w:val="0"/>
          <w:i w:val="0"/>
        </w:rP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rPr>
          <w:b w:val="0"/>
          <w:i w:val="0"/>
        </w:rPr>
        <w:t>).</w:t>
      </w:r>
    </w:p>
    <w:p>
      <w:r>
        <w:rPr>
          <w:b w:val="0"/>
          <w:i w:val="0"/>
        </w:rP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r>
        <w:rPr>
          <w:b w:val="0"/>
          <w:i w:val="0"/>
        </w:rPr>
        <w:t>For the Maea Sanger study</w:t>
      </w:r>
      <w:hyperlink w:anchor="ref_33" w:history="1">
        <w:r>
          <w:rPr>
            <w:i w:val="0"/>
            <w:color w:val="1F5FA8"/>
            <w:vertAlign w:val="superscript"/>
          </w:rPr>
          <w:t>33</w:t>
        </w:r>
      </w:hyperlink>
      <w:r>
        <w:rPr>
          <w:b w:val="0"/>
          <w:i w:val="0"/>
        </w:rP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b w:val="0"/>
            <w:i w:val="0"/>
            <w:color w:val="1F5FA8"/>
          </w:rPr>
          <w:t>Figure 2</w:t>
        </w:r>
      </w:hyperlink>
      <w:r>
        <w:rPr>
          <w:b w:val="0"/>
          <w:i w:val="0"/>
        </w:rPr>
        <w:t xml:space="preserve">h for mutation frequencies, including </w:t>
      </w:r>
      <w:r>
        <w:rPr>
          <w:i/>
        </w:rPr>
        <w:t>Aicda</w:t>
      </w:r>
      <w:r>
        <w:rPr>
          <w:i w:val="0"/>
          <w:vertAlign w:val="superscript"/>
        </w:rPr>
        <w:t>−/−</w:t>
      </w:r>
      <w:r>
        <w:rPr>
          <w:b w:val="0"/>
          <w:i w:val="0"/>
        </w:rPr>
        <w:t xml:space="preserve"> mice; </w:t>
      </w:r>
      <w:hyperlink w:anchor="fig_2" w:history="1">
        <w:r>
          <w:rPr>
            <w:b w:val="0"/>
            <w:i w:val="0"/>
            <w:color w:val="1F5FA8"/>
          </w:rPr>
          <w:t>Figure 2</w:t>
        </w:r>
      </w:hyperlink>
      <w:r>
        <w:rPr>
          <w:b w:val="0"/>
          <w:i w:val="0"/>
        </w:rPr>
        <w:t xml:space="preserve">i for G:C transitions and transversions; and </w:t>
      </w:r>
      <w:hyperlink w:anchor="fig_2" w:history="1">
        <w:r>
          <w:rPr>
            <w:b w:val="0"/>
            <w:i w:val="0"/>
            <w:color w:val="1F5FA8"/>
          </w:rPr>
          <w:t>Figure 2</w:t>
        </w:r>
      </w:hyperlink>
      <w:r>
        <w:rPr>
          <w:b w:val="0"/>
          <w:i w:val="0"/>
        </w:rPr>
        <w:t xml:space="preserve">g for clone distributions. Twelve-type counts were transcribed from Supplementary </w:t>
      </w:r>
      <w:r>
        <w:rPr>
          <w:b w:val="0"/>
          <w:i w:val="0"/>
        </w:rPr>
        <w:t>Figure 9</w:t>
      </w:r>
      <w:r>
        <w:rPr>
          <w:b w:val="0"/>
          <w:i w:val="0"/>
        </w:rPr>
        <w:t xml:space="preserve">b, using printed cell values where they conflicted with printed totals. Wt and </w:t>
      </w:r>
      <w:r>
        <w:rPr>
          <w:i/>
        </w:rPr>
        <w:t>Maea</w:t>
      </w:r>
      <w:r>
        <w:rPr>
          <w:b w:val="0"/>
          <w:i w:val="0"/>
        </w:rPr>
        <w:t xml:space="preserve">-deficient groups were compared using the original one-tailed unpaired t test; comparisons with </w:t>
      </w:r>
      <w:r>
        <w:rPr>
          <w:i/>
        </w:rPr>
        <w:t>Aicda</w:t>
      </w:r>
      <w:r>
        <w:rPr>
          <w:i w:val="0"/>
          <w:vertAlign w:val="superscript"/>
        </w:rPr>
        <w:t>−/−</w:t>
      </w:r>
      <w:r>
        <w:rPr>
          <w:b w:val="0"/>
          <w:i w:val="0"/>
        </w:rPr>
        <w:t xml:space="preserve"> used Welch tests on log frequencies. Data S1 contains the sample sheet and transcribed tables.</w:t>
      </w:r>
    </w:p>
    <w:p>
      <w:r>
        <w:rPr>
          <w:b w:val="0"/>
          <w:i w:val="0"/>
        </w:rPr>
        <w:t xml:space="preserve">For the </w:t>
      </w:r>
      <w:r>
        <w:rPr>
          <w:i/>
        </w:rPr>
        <w:t>Mkln1</w:t>
      </w:r>
      <w:r>
        <w:rPr>
          <w:b w:val="0"/>
          <w:i w:val="0"/>
        </w:rPr>
        <w:t xml:space="preserve"> study</w:t>
      </w:r>
      <w:hyperlink w:anchor="ref_34" w:history="1">
        <w:r>
          <w:rPr>
            <w:i w:val="0"/>
            <w:color w:val="1F5FA8"/>
            <w:vertAlign w:val="superscript"/>
          </w:rPr>
          <w:t>34</w:t>
        </w:r>
      </w:hyperlink>
      <w:r>
        <w:rPr>
          <w:b w:val="0"/>
          <w:i w:val="0"/>
        </w:rPr>
        <w:t xml:space="preserve">, mouse assignments were reconstructed from original project folders using a screen recording. A separate folder contained 58 later-run </w:t>
      </w:r>
      <w:r>
        <w:rPr>
          <w:i/>
        </w:rPr>
        <w:t>Mkln1</w:t>
      </w:r>
      <w:r>
        <w:rPr>
          <w:i w:val="0"/>
          <w:vertAlign w:val="superscript"/>
        </w:rPr>
        <w:t>−/−</w:t>
      </w:r>
      <w:r>
        <w:rPr>
          <w:b w:val="0"/>
          <w:i w:val="0"/>
        </w:rP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matched nanopore libraries, because assignment requires a read carrying at least three of its mutations.</w:t>
      </w:r>
    </w:p>
    <w:p>
      <w:r>
        <w:rPr>
          <w:b w:val="0"/>
          <w:i w:val="0"/>
        </w:rPr>
        <w:t xml:space="preserve">A sensitivity analysis used an evidence-based </w:t>
      </w:r>
      <w:r>
        <w:rPr>
          <w:i/>
        </w:rPr>
        <w:t>Mkln1</w:t>
      </w:r>
      <w:r>
        <w:rPr>
          <w:b w:val="0"/>
          <w:i w:val="0"/>
        </w:rP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i w:val="0"/>
          <w:vertAlign w:val="subscript"/>
        </w:rPr>
        <w:t>H</w:t>
      </w:r>
      <w:r>
        <w:rPr>
          <w:b w:val="0"/>
          <w:i w:val="0"/>
        </w:rPr>
        <w:t xml:space="preserve">4 nanopore libraries after excluding positions mismatched in &gt;0.5% of </w:t>
      </w:r>
      <w:r>
        <w:rPr>
          <w:i/>
        </w:rPr>
        <w:t>Aicda</w:t>
      </w:r>
      <w:r>
        <w:rPr>
          <w:i w:val="0"/>
          <w:vertAlign w:val="superscript"/>
        </w:rPr>
        <w:t>−/−</w:t>
      </w:r>
      <w:r>
        <w:rPr>
          <w:b w:val="0"/>
          <w:i w:val="0"/>
        </w:rP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r>
        <w:rPr>
          <w:b w:val="0"/>
          <w:i w:val="0"/>
        </w:rPr>
        <w:t>For the SW</w:t>
      </w:r>
      <w:r>
        <w:rPr>
          <w:i w:val="0"/>
          <w:vertAlign w:val="subscript"/>
        </w:rPr>
        <w:t>HEL</w:t>
      </w:r>
      <w:r>
        <w:rPr>
          <w:b w:val="0"/>
          <w:i w:val="0"/>
        </w:rPr>
        <w:t xml:space="preserve"> study</w:t>
      </w:r>
      <w:hyperlink w:anchor="ref_35" w:history="1">
        <w:r>
          <w:rPr>
            <w:i w:val="0"/>
            <w:color w:val="1F5FA8"/>
            <w:vertAlign w:val="superscript"/>
          </w:rPr>
          <w:t>35</w:t>
        </w:r>
      </w:hyperlink>
      <w:r>
        <w:rPr>
          <w:b w:val="0"/>
          <w:i w:val="0"/>
        </w:rP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i w:val="0"/>
          <w:vertAlign w:val="superscript"/>
        </w:rPr>
        <w:t>−/−</w:t>
      </w:r>
      <w:r>
        <w:rPr>
          <w:b w:val="0"/>
          <w:i w:val="0"/>
        </w:rPr>
        <w:t xml:space="preserve"> group was available for background estimation. Published per-group counts were transcribed from the source study's </w:t>
      </w:r>
      <w:r>
        <w:rPr>
          <w:b w:val="0"/>
          <w:i w:val="0"/>
        </w:rPr>
        <w:t>Table 1</w:t>
      </w:r>
      <w:r>
        <w:rPr>
          <w:b w:val="0"/>
          <w:i w:val="0"/>
        </w:rPr>
        <w:t xml:space="preserve">, which counts each sequence independently. SHMtrace totals were compared using this convention; unique-mutation counts are lower, as expected. The publication lists 1,796 sequences versus 1,795 deposited, owing to one fewer </w:t>
      </w:r>
      <w:r>
        <w:rPr>
          <w:i/>
        </w:rPr>
        <w:t>Msh2</w:t>
      </w:r>
      <w:r>
        <w:rPr>
          <w:i w:val="0"/>
          <w:vertAlign w:val="superscript"/>
        </w:rPr>
        <w:t>−/−</w:t>
      </w:r>
      <w:r>
        <w:rPr>
          <w:b w:val="0"/>
          <w:i w:val="0"/>
        </w:rP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i w:val="0"/>
          <w:vertAlign w:val="superscript"/>
        </w:rPr>
        <w:t>−10</w:t>
      </w:r>
      <w:r>
        <w:rPr>
          <w:b w:val="0"/>
          <w:i w:val="0"/>
        </w:rPr>
        <w:t>, 8.5 × 10</w:t>
      </w:r>
      <w:r>
        <w:rPr>
          <w:i w:val="0"/>
          <w:vertAlign w:val="superscript"/>
        </w:rPr>
        <w:t>−6</w:t>
      </w:r>
      <w:r>
        <w:rPr>
          <w:b w:val="0"/>
          <w:i w:val="0"/>
        </w:rPr>
        <w:t>, 5.0 × 10</w:t>
      </w:r>
      <w:r>
        <w:rPr>
          <w:i w:val="0"/>
          <w:vertAlign w:val="superscript"/>
        </w:rPr>
        <w:t>−10</w:t>
      </w:r>
      <w:r>
        <w:rPr>
          <w:b w:val="0"/>
          <w:i w:val="0"/>
        </w:rPr>
        <w:t>, and 0.18 for the four substitution classes and 2.6 × 10</w:t>
      </w:r>
      <w:r>
        <w:rPr>
          <w:i w:val="0"/>
          <w:vertAlign w:val="superscript"/>
        </w:rPr>
        <w:t>−4</w:t>
      </w:r>
      <w:r>
        <w:rPr>
          <w:b w:val="0"/>
          <w:i w:val="0"/>
        </w:rPr>
        <w:t xml:space="preserve"> for total mutation, versus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0.14 and 3.8 × 10</w:t>
      </w:r>
      <w:r>
        <w:rPr>
          <w:i w:val="0"/>
          <w:vertAlign w:val="superscript"/>
        </w:rPr>
        <w:t>−4</w:t>
      </w:r>
      <w:r>
        <w:rPr>
          <w:b w:val="0"/>
          <w:i w:val="0"/>
        </w:rPr>
        <w:t xml:space="preserve"> with all hosts.</w:t>
      </w:r>
    </w:p>
    <w:p>
      <w:r>
        <w:rPr>
          <w:b w:val="0"/>
          <w:i w:val="0"/>
        </w:rP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i w:val="0"/>
          <w:vertAlign w:val="subscript"/>
        </w:rPr>
        <w:t>H</w:t>
      </w:r>
      <w:r>
        <w:rPr>
          <w:b w:val="0"/>
          <w:i w:val="0"/>
        </w:rPr>
        <w:t xml:space="preserve">4 AID-null reads as for </w:t>
      </w:r>
      <w:hyperlink w:anchor="fig_S8" w:history="1">
        <w:r>
          <w:rPr>
            <w:b w:val="0"/>
            <w:i w:val="0"/>
            <w:color w:val="1F5FA8"/>
          </w:rPr>
          <w:t>Figure S8A</w:t>
        </w:r>
      </w:hyperlink>
      <w:r>
        <w:rPr>
          <w:b w:val="0"/>
          <w:i w:val="0"/>
        </w:rPr>
        <w:t>, with the dominant clone holding 40%, 60% or 80% of the reads and carrying its own trunk mutations (mean 6, as the 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r>
        <w:rPr>
          <w:b w:val="0"/>
          <w:i w:val="0"/>
        </w:rPr>
        <w:t>For the matched-platform comparison, 184 traces were assigned to the six mice, 2 excluded in the sample sheet and 182 processed; 48 failed analysis and 134 were retained (</w:t>
      </w:r>
      <w:hyperlink w:anchor="fig_S13" w:history="1">
        <w:r>
          <w:rPr>
            <w:b w:val="0"/>
            <w:i w:val="0"/>
            <w:color w:val="1F5FA8"/>
          </w:rPr>
          <w:t>Figure S13</w:t>
        </w:r>
      </w:hyperlink>
      <w:r>
        <w:rPr>
          <w:b w:val="0"/>
          <w:i w:val="0"/>
        </w:rPr>
        <w:t>). This distinguishes the complete 447-trace archive from the matched comparison.</w:t>
      </w:r>
    </w:p>
    <w:p>
      <w:r>
        <w:rPr>
          <w:b w:val="0"/>
          <w:i w:val="0"/>
        </w:rPr>
        <w:t>In matched mice, G:C hotspot shares were 58% for Sanger and 54% for nanopore versus 20% of eligible positions; A:T shares were 70% and 69% versus 50%. No equivalence conclusion follows from the non-significant interaction at n=3. In the independent SW</w:t>
      </w:r>
      <w:r>
        <w:rPr>
          <w:i w:val="0"/>
          <w:vertAlign w:val="subscript"/>
        </w:rPr>
        <w:t>HEL</w:t>
      </w:r>
      <w:r>
        <w:rPr>
          <w:b w:val="0"/>
          <w:i w:val="0"/>
        </w:rPr>
        <w:t xml:space="preserve"> comparison, the analysis window was 558 bp; per-class p-values were 9.7 × 10</w:t>
      </w:r>
      <w:r>
        <w:rPr>
          <w:i w:val="0"/>
          <w:vertAlign w:val="superscript"/>
        </w:rPr>
        <w:t>−11</w:t>
      </w:r>
      <w:r>
        <w:rPr>
          <w:b w:val="0"/>
          <w:i w:val="0"/>
        </w:rPr>
        <w:t>, 7.7 × 10</w:t>
      </w:r>
      <w:r>
        <w:rPr>
          <w:i w:val="0"/>
          <w:vertAlign w:val="superscript"/>
        </w:rPr>
        <w:t>−6</w:t>
      </w:r>
      <w:r>
        <w:rPr>
          <w:b w:val="0"/>
          <w:i w:val="0"/>
        </w:rPr>
        <w:t>, 1.2 × 10</w:t>
      </w:r>
      <w:r>
        <w:rPr>
          <w:i w:val="0"/>
          <w:vertAlign w:val="superscript"/>
        </w:rPr>
        <w:t>−10</w:t>
      </w:r>
      <w:r>
        <w:rPr>
          <w:b w:val="0"/>
          <w:i w:val="0"/>
        </w:rPr>
        <w:t xml:space="preserve"> and 0.14. The published total-mutation p=0.07 used one-way ANOVA; the reanalysis p=3.8 × 10</w:t>
      </w:r>
      <w:r>
        <w:rPr>
          <w:i w:val="0"/>
          <w:vertAlign w:val="superscript"/>
        </w:rPr>
        <w:t>−4</w:t>
      </w:r>
      <w:r>
        <w:rPr>
          <w:b w:val="0"/>
          <w:i w:val="0"/>
        </w:rPr>
        <w:t xml:space="preserve"> used per-animal log-rate Welch. The deposit's 12 hosts differ from the reported 13; the potentially pooled host was retained and excluded in sensitivity analysis. A:T mutation shares fell from 56% in Wt to 5% in </w:t>
      </w:r>
      <w:r>
        <w:rPr>
          <w:i/>
        </w:rPr>
        <w:t>Msh2</w:t>
      </w:r>
      <w:r>
        <w:rPr>
          <w:b w:val="0"/>
          <w:i w:val="0"/>
        </w:rPr>
        <w:t xml:space="preserve"> mutants.</w:t>
      </w:r>
    </w:p>
    <w:p>
      <w:r>
        <w:rPr>
          <w:b w:val="0"/>
          <w:i w:val="0"/>
        </w:rPr>
        <w:t>SHMtrace processed 293 chromatograms in 16 s after manual assignment curation. G:C transitions fell from 19% to 11% (same published shares; p=2.9 × 10</w:t>
      </w:r>
      <w:r>
        <w:rPr>
          <w:i w:val="0"/>
          <w:vertAlign w:val="superscript"/>
        </w:rPr>
        <w:t>−4</w:t>
      </w:r>
      <w:r>
        <w:rPr>
          <w:b w:val="0"/>
          <w:i w:val="0"/>
        </w:rPr>
        <w:t xml:space="preserve"> versus 0.0028 published), while transversions rose from 15% to 21% versus 14% to 20% published (p=0.025 versus 0.0285). Mouse rankings correlated at ρ=0.95. Controls had two mutations in 19 clones (p=3.0 × 10</w:t>
      </w:r>
      <w:r>
        <w:rPr>
          <w:i w:val="0"/>
          <w:vertAlign w:val="superscript"/>
        </w:rPr>
        <w:t>−4</w:t>
      </w:r>
      <w:r>
        <w:rPr>
          <w:b w:val="0"/>
          <w:i w:val="0"/>
        </w:rPr>
        <w:t xml:space="preserve"> versus Wt and 0.0039 versus knockout). Shared trace assignments and 134 identical mutated-clone pairs remained as filed and were flagged.</w:t>
      </w:r>
    </w:p>
    <w:p>
      <w:pPr>
        <w:keepNext/>
        <w:spacing w:before="160"/>
      </w:pPr>
      <w:r>
        <w:rPr>
          <w:b/>
          <w:i w:val="0"/>
          <w:sz w:val="22"/>
        </w:rPr>
        <w:t>Benchmark against other callers</w:t>
      </w:r>
    </w:p>
    <w:p>
      <w:hyperlink w:anchor="fig_4" w:history="1">
        <w:r>
          <w:rPr>
            <w:b w:val="0"/>
            <w:i w:val="0"/>
            <w:color w:val="1F5FA8"/>
          </w:rPr>
          <w:t>Figure 4</w:t>
        </w:r>
      </w:hyperlink>
      <w:r>
        <w:rPr>
          <w:b w:val="0"/>
          <w:i w:val="0"/>
        </w:rPr>
        <w:t xml:space="preserve"> and </w:t>
      </w:r>
      <w:hyperlink w:anchor="tab_S1" w:history="1">
        <w:r>
          <w:rPr>
            <w:b w:val="0"/>
            <w:i w:val="0"/>
            <w:color w:val="1F5FA8"/>
          </w:rPr>
          <w:t>Table S1</w:t>
        </w:r>
      </w:hyperlink>
      <w:r>
        <w:rPr>
          <w:b w:val="0"/>
          <w:i w:val="0"/>
        </w:rPr>
        <w:t xml:space="preserve"> are built by </w:t>
      </w:r>
      <w:r>
        <w:rPr>
          <w:rFonts w:ascii="Courier New" w:hAnsi="Courier New"/>
          <w:sz w:val="20"/>
        </w:rPr>
        <w:t>crm/benchmark_real.py</w:t>
      </w:r>
      <w:r>
        <w:rPr>
          <w:b w:val="0"/>
          <w:i w:val="0"/>
        </w:rPr>
        <w:t xml:space="preserve">, which drives the calling stage directly so that every caller sees exactly the same reads; the product itself runs </w:t>
      </w:r>
      <w:r>
        <w:rPr>
          <w:rFonts w:ascii="Courier New" w:hAnsi="Courier New"/>
          <w:sz w:val="20"/>
        </w:rPr>
        <w:t>run_project</w:t>
      </w:r>
      <w:r>
        <w:rPr>
          <w:b w:val="0"/>
          <w:i w:val="0"/>
        </w:rPr>
        <w:t>. Because those are two code paths, they were compared library by library (</w:t>
      </w:r>
      <w:r>
        <w:rPr>
          <w:rFonts w:ascii="Courier New" w:hAnsi="Courier New"/>
          <w:sz w:val="20"/>
        </w:rPr>
        <w:t>crm/route_check.py</w:t>
      </w:r>
      <w:r>
        <w:rPr>
          <w:b w:val="0"/>
          <w:i w:val="0"/>
        </w:rPr>
        <w:t>). On the J</w:t>
      </w:r>
      <w:r>
        <w:rPr>
          <w:i w:val="0"/>
          <w:vertAlign w:val="subscript"/>
        </w:rPr>
        <w:t>H</w:t>
      </w:r>
      <w:r>
        <w:rPr>
          <w:b w:val="0"/>
          <w:i w:val="0"/>
        </w:rPr>
        <w:t>4 and N114 V</w:t>
      </w:r>
      <w:r>
        <w:rPr>
          <w:i w:val="0"/>
          <w:vertAlign w:val="subscript"/>
        </w:rPr>
        <w:t>H</w:t>
      </w:r>
      <w:r>
        <w:rPr>
          <w:b w:val="0"/>
          <w:i w:val="0"/>
        </w:rP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rPr>
          <w:b w:val="0"/>
          <w:i w:val="0"/>
        </w:rPr>
        <w:t xml:space="preserve"> across all three together, so the thresholds differ. Counts then move in both directions, for instance 88 against 101 calls in one Sμ wild-type library and 6 against 1 in one </w:t>
      </w:r>
      <w:r>
        <w:rPr>
          <w:i/>
        </w:rPr>
        <w:t>Pim1</w:t>
      </w:r>
      <w:r>
        <w:rPr>
          <w:b w:val="0"/>
          <w:i w:val="0"/>
        </w:rPr>
        <w:t xml:space="preserve"> wild type. The separations are unchanged in direction and in order of magnitude under either route (J</w:t>
      </w:r>
      <w:r>
        <w:rPr>
          <w:i w:val="0"/>
          <w:vertAlign w:val="subscript"/>
        </w:rPr>
        <w:t>H</w:t>
      </w:r>
      <w:r>
        <w:rPr>
          <w:b w:val="0"/>
          <w:i w:val="0"/>
        </w:rPr>
        <w:t>4 141 against 141, N114 V</w:t>
      </w:r>
      <w:r>
        <w:rPr>
          <w:i w:val="0"/>
          <w:vertAlign w:val="subscript"/>
        </w:rPr>
        <w:t>H</w:t>
      </w:r>
      <w:r>
        <w:rPr>
          <w:b w:val="0"/>
          <w:i w:val="0"/>
        </w:rPr>
        <w:t xml:space="preserve"> 85 against 84, Sμ LPS 66 against 84, Sμ CH12 94 against 171, off-target 1 53 against 46, off-target 2 28 against 24), and </w:t>
      </w:r>
      <w:r>
        <w:rPr>
          <w:i/>
        </w:rPr>
        <w:t>Pim1</w:t>
      </w:r>
      <w:r>
        <w:rPr>
          <w:b w:val="0"/>
          <w:i w:val="0"/>
        </w:rPr>
        <w:t xml:space="preserve"> stays below separation either way, at 1.8 against 0.8. </w:t>
      </w:r>
      <w:hyperlink w:anchor="fig_4" w:history="1">
        <w:r>
          <w:rPr>
            <w:b w:val="0"/>
            <w:i w:val="0"/>
            <w:color w:val="1F5FA8"/>
          </w:rPr>
          <w:t>Figure 4</w:t>
        </w:r>
      </w:hyperlink>
      <w:r>
        <w:rPr>
          <w:b w:val="0"/>
          <w:i w:val="0"/>
        </w:rPr>
        <w:t xml:space="preserve"> therefore reports the benchmark route throughout, for comparability between callers, and </w:t>
      </w:r>
      <w:hyperlink w:anchor="tab_S3" w:history="1">
        <w:r>
          <w:rPr>
            <w:b w:val="0"/>
            <w:i w:val="0"/>
            <w:color w:val="1F5FA8"/>
          </w:rPr>
          <w:t>Table S3</w:t>
        </w:r>
      </w:hyperlink>
      <w:r>
        <w:rPr>
          <w:b w:val="0"/>
          <w:i w:val="0"/>
        </w:rPr>
        <w:t xml:space="preserve"> reports </w:t>
      </w:r>
      <w:r>
        <w:rPr>
          <w:rFonts w:ascii="Courier New" w:hAnsi="Courier New"/>
          <w:sz w:val="20"/>
        </w:rPr>
        <w:t>run_project</w:t>
      </w:r>
      <w:r>
        <w:rPr>
          <w:b w:val="0"/>
          <w:i w:val="0"/>
        </w:rPr>
        <w:t>, where the two coincide.</w:t>
      </w:r>
    </w:p>
    <w:p>
      <w:r>
        <w:rPr>
          <w:b w:val="0"/>
          <w:i w:val="0"/>
        </w:rP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rPr>
          <w:b w:val="0"/>
          <w:i w:val="0"/>
        </w:rPr>
        <w:t xml:space="preserve">, restricted to the analysis window, at three settings: default settings (base-alignment quality on, Bonferroni correction, default filters); </w:t>
      </w:r>
      <w:r>
        <w:rPr>
          <w:rFonts w:ascii="Courier New" w:hAnsi="Courier New"/>
          <w:sz w:val="20"/>
        </w:rPr>
        <w:t>-B</w:t>
      </w:r>
      <w:r>
        <w:rPr>
          <w:b w:val="0"/>
          <w:i w:val="0"/>
        </w:rPr>
        <w:t xml:space="preserve"> (base-alignment quality off); and </w:t>
      </w:r>
      <w:r>
        <w:rPr>
          <w:rFonts w:ascii="Courier New" w:hAnsi="Courier New"/>
          <w:sz w:val="20"/>
        </w:rPr>
        <w:t>-B -a 0.05 -b 1 --no-default-filter</w:t>
      </w:r>
      <w:r>
        <w:rPr>
          <w:b w:val="0"/>
          <w:i w:val="0"/>
        </w:rP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rPr>
          <w:b w:val="0"/>
          <w:i w:val="0"/>
        </w:rPr>
        <w:t xml:space="preserve">; </w:t>
      </w:r>
      <w:hyperlink w:anchor="tab_S1" w:history="1">
        <w:r>
          <w:rPr>
            <w:b w:val="0"/>
            <w:i w:val="0"/>
            <w:color w:val="1F5FA8"/>
          </w:rPr>
          <w:t>Table S1</w:t>
        </w:r>
      </w:hyperlink>
      <w:r>
        <w:rPr>
          <w:b w:val="0"/>
          <w:i w:val="0"/>
        </w:rP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4" w:history="1">
        <w:r>
          <w:rPr>
            <w:b w:val="0"/>
            <w:i w:val="0"/>
            <w:color w:val="1F5FA8"/>
          </w:rPr>
          <w:t>Figure S4</w:t>
        </w:r>
      </w:hyperlink>
      <w:r>
        <w:rPr>
          <w:b w:val="0"/>
          <w:i w:val="0"/>
        </w:rPr>
        <w:t xml:space="preserve"> the same libraries were called at target false-discovery rates of 0.01, 0.02, 0.05, 0.10, 0.20 and 0.30 (</w:t>
      </w:r>
      <w:r>
        <w:rPr>
          <w:rFonts w:ascii="Courier New" w:hAnsi="Courier New"/>
          <w:sz w:val="20"/>
        </w:rPr>
        <w:t>fdr_alpha</w:t>
      </w:r>
      <w:r>
        <w:rPr>
          <w:b w:val="0"/>
          <w:i w:val="0"/>
        </w:rPr>
        <w:t xml:space="preserve">), every other setting at its default; the realised proportion is false calls over all calls, pooled over a locus's libraries. For </w:t>
      </w:r>
      <w:hyperlink w:anchor="fig_S5" w:history="1">
        <w:r>
          <w:rPr>
            <w:b w:val="0"/>
            <w:i w:val="0"/>
            <w:color w:val="1F5FA8"/>
          </w:rPr>
          <w:t>Figure S5</w:t>
        </w:r>
      </w:hyperlink>
      <w:r>
        <w:rPr>
          <w:b w:val="0"/>
          <w:i w:val="0"/>
        </w:rPr>
        <w:t xml:space="preserve"> (</w:t>
      </w:r>
      <w:r>
        <w:rPr>
          <w:rFonts w:ascii="Courier New" w:hAnsi="Courier New"/>
          <w:sz w:val="20"/>
        </w:rPr>
        <w:t>crm/controls_design.py</w:t>
      </w:r>
      <w:r>
        <w:rPr>
          <w:b w:val="0"/>
          <w:i w:val="0"/>
        </w:rPr>
        <w:t xml:space="preserve">), the validation libraries of </w:t>
      </w:r>
      <w:hyperlink w:anchor="fig_S24" w:history="1">
        <w:r>
          <w:rPr>
            <w:b w:val="0"/>
            <w:i w:val="0"/>
            <w:color w:val="1F5FA8"/>
          </w:rPr>
          <w:t>Figure S24</w:t>
        </w:r>
      </w:hyperlink>
      <w:r>
        <w:rPr>
          <w:b w:val="0"/>
          <w:i w:val="0"/>
        </w:rPr>
        <w:t xml:space="preserve"> (KO1 carrying planted polyclonal lineages, or none, against halves of KO2 and KO3) were run through </w:t>
      </w:r>
      <w:r>
        <w:rPr>
          <w:rFonts w:ascii="Courier New" w:hAnsi="Courier New"/>
          <w:sz w:val="20"/>
        </w:rPr>
        <w:t>run_project</w:t>
      </w:r>
      <w:r>
        <w:rPr>
          <w:b w:val="0"/>
          <w:i w:val="0"/>
        </w:rP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rPr>
          <w:b w:val="0"/>
          <w:i w:val="0"/>
        </w:rPr>
        <w:t>), 500 usable reads were drawn with a fraction f from an AID-active library and the rest from one AID-null library (J</w:t>
      </w:r>
      <w:r>
        <w:rPr>
          <w:i w:val="0"/>
          <w:vertAlign w:val="subscript"/>
        </w:rPr>
        <w:t>H</w:t>
      </w:r>
      <w:r>
        <w:rPr>
          <w:b w:val="0"/>
          <w:i w:val="0"/>
        </w:rPr>
        <w:t xml:space="preserve">4 KO1; N114 D1), 3 draws per fraction, and called by </w:t>
      </w:r>
      <w:r>
        <w:rPr>
          <w:rFonts w:ascii="Courier New" w:hAnsi="Courier New"/>
          <w:sz w:val="20"/>
        </w:rPr>
        <w:t>run_project</w:t>
      </w:r>
      <w:r>
        <w:rPr>
          <w:b w:val="0"/>
          <w:i w:val="0"/>
        </w:rPr>
        <w:t xml:space="preserve"> against the other two AID-null libraries; expected mutation frequency is f times the donor at f = 1 plus (1 − f) times the diluent. N114 V</w:t>
      </w:r>
      <w:r>
        <w:rPr>
          <w:i w:val="0"/>
          <w:vertAlign w:val="subscript"/>
        </w:rPr>
        <w:t>H</w:t>
      </w:r>
      <w:r>
        <w:rPr>
          <w:b w:val="0"/>
          <w:i w:val="0"/>
        </w:rPr>
        <w:t xml:space="preserve"> used </w:t>
      </w:r>
      <w:r>
        <w:rPr>
          <w:rFonts w:ascii="Courier New" w:hAnsi="Courier New"/>
          <w:sz w:val="20"/>
        </w:rPr>
        <w:t>ancestral_reference</w:t>
      </w:r>
      <w:r>
        <w:rPr>
          <w:b w:val="0"/>
          <w:i w:val="0"/>
        </w:rPr>
        <w:t>, because its reference is the parental construct: with the default 50% rule, mutations fixed within a subclone are removed at f = 1 but counted once diluted, and D3 then read 1.84 per 10</w:t>
      </w:r>
      <w:r>
        <w:rPr>
          <w:i w:val="0"/>
          <w:vertAlign w:val="superscript"/>
        </w:rPr>
        <w:t>3</w:t>
      </w:r>
      <w:r>
        <w:rPr>
          <w:b w:val="0"/>
          <w:i w:val="0"/>
        </w:rPr>
        <w:t xml:space="preserve"> bp at f = 0.5 and 0.63 at f = 1. For </w:t>
      </w:r>
      <w:hyperlink w:anchor="fig_S12" w:history="1">
        <w:r>
          <w:rPr>
            <w:b w:val="0"/>
            <w:i w:val="0"/>
            <w:color w:val="1F5FA8"/>
          </w:rPr>
          <w:t>Figure S12</w:t>
        </w:r>
      </w:hyperlink>
      <w:r>
        <w:rPr>
          <w:b w:val="0"/>
          <w:i w:val="0"/>
        </w:rPr>
        <w:t xml:space="preserve"> (</w:t>
      </w:r>
      <w:r>
        <w:rPr>
          <w:rFonts w:ascii="Courier New" w:hAnsi="Courier New"/>
          <w:sz w:val="20"/>
        </w:rPr>
        <w:t>crm/immcantation_compare.py</w:t>
      </w:r>
      <w:r>
        <w:rPr>
          <w:b w:val="0"/>
          <w:i w:val="0"/>
        </w:rPr>
        <w:t>), the 500 reads SHMtrace analyzed from each N114 V</w:t>
      </w:r>
      <w:r>
        <w:rPr>
          <w:i w:val="0"/>
          <w:vertAlign w:val="subscript"/>
        </w:rPr>
        <w:t>H</w:t>
      </w:r>
      <w:r>
        <w:rPr>
          <w:b w:val="0"/>
          <w:i w:val="0"/>
        </w:rP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rPr>
          <w:b w:val="0"/>
          <w:i w:val="0"/>
        </w:rPr>
        <w:t xml:space="preserve"> counted substitutions between </w:t>
      </w:r>
      <w:r>
        <w:rPr>
          <w:rFonts w:ascii="Courier New" w:hAnsi="Courier New"/>
          <w:sz w:val="20"/>
        </w:rPr>
        <w:t>v_sequence_alignment</w:t>
      </w:r>
      <w:r>
        <w:rPr>
          <w:b w:val="0"/>
          <w:i w:val="0"/>
        </w:rPr>
        <w:t xml:space="preserve"> and </w:t>
      </w:r>
      <w:r>
        <w:rPr>
          <w:rFonts w:ascii="Courier New" w:hAnsi="Courier New"/>
          <w:sz w:val="20"/>
        </w:rPr>
        <w:t>v_germline_alignment</w:t>
      </w:r>
      <w:r>
        <w:rPr>
          <w:b w:val="0"/>
          <w:i w:val="0"/>
        </w:rP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i w:val="0"/>
          <w:vertAlign w:val="superscript"/>
        </w:rPr>
        <w:t>−/−</w:t>
      </w:r>
      <w:r>
        <w:rPr>
          <w:b w:val="0"/>
          <w:i w:val="0"/>
        </w:rP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rPr>
          <w:b w:val="0"/>
          <w:i w:val="0"/>
        </w:rPr>
        <w:t xml:space="preserve"> and </w:t>
      </w:r>
      <w:r>
        <w:rPr>
          <w:i/>
        </w:rPr>
        <w:t>Ly6e</w:t>
      </w:r>
      <w:r>
        <w:rPr>
          <w:b w:val="0"/>
          <w:i w:val="0"/>
        </w:rPr>
        <w:t xml:space="preserve"> yielded no calls in any library, including at 30,000 reads, and the remaining cell contexts provide two libraries per group or a single </w:t>
      </w:r>
      <w:r>
        <w:rPr>
          <w:i/>
        </w:rPr>
        <w:t>Aicda</w:t>
      </w:r>
      <w:r>
        <w:rPr>
          <w:i w:val="0"/>
          <w:vertAlign w:val="superscript"/>
        </w:rPr>
        <w:t>−/−</w:t>
      </w:r>
      <w:r>
        <w:rPr>
          <w:b w:val="0"/>
          <w:i w:val="0"/>
        </w:rPr>
        <w:t xml:space="preserve"> library, which is below what the control-based test and the animal-level comparison need.</w:t>
      </w:r>
    </w:p>
    <w:p>
      <w:r>
        <w:rPr>
          <w:b w:val="0"/>
          <w:i w:val="0"/>
        </w:rPr>
        <w:t>Two somatic callers that compare a case library with a matched normal, ClairS 0.5.1</w:t>
      </w:r>
      <w:hyperlink w:anchor="ref_24" w:history="1">
        <w:r>
          <w:rPr>
            <w:i w:val="0"/>
            <w:color w:val="1F5FA8"/>
            <w:vertAlign w:val="superscript"/>
          </w:rPr>
          <w:t>24</w:t>
        </w:r>
      </w:hyperlink>
      <w:r>
        <w:rPr>
          <w:b w:val="0"/>
          <w:i w:val="0"/>
        </w:rPr>
        <w:t xml:space="preserve"> and DeepSomatic 1.9.0</w:t>
      </w:r>
      <w:hyperlink w:anchor="ref_25" w:history="1">
        <w:r>
          <w:rPr>
            <w:i w:val="0"/>
            <w:color w:val="1F5FA8"/>
            <w:vertAlign w:val="superscript"/>
          </w:rPr>
          <w:t>25</w:t>
        </w:r>
      </w:hyperlink>
      <w:r>
        <w:rPr>
          <w:b w:val="0"/>
          <w:i w:val="0"/>
        </w:rPr>
        <w:t>, and two germline callers, Clair3 2.0.3</w:t>
      </w:r>
      <w:hyperlink w:anchor="ref_26" w:history="1">
        <w:r>
          <w:rPr>
            <w:i w:val="0"/>
            <w:color w:val="1F5FA8"/>
            <w:vertAlign w:val="superscript"/>
          </w:rPr>
          <w:t>26</w:t>
        </w:r>
      </w:hyperlink>
      <w:r>
        <w:rPr>
          <w:b w:val="0"/>
          <w:i w:val="0"/>
        </w:rPr>
        <w:t xml:space="preserve"> and DeepVariant 1.9.0</w:t>
      </w:r>
      <w:hyperlink w:anchor="ref_27" w:history="1">
        <w:r>
          <w:rPr>
            <w:i w:val="0"/>
            <w:color w:val="1F5FA8"/>
            <w:vertAlign w:val="superscript"/>
          </w:rPr>
          <w:t>27</w:t>
        </w:r>
      </w:hyperlink>
      <w:r>
        <w:rPr>
          <w:b w:val="0"/>
          <w:i w:val="0"/>
        </w:rP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rPr>
          <w:b w:val="0"/>
          <w:i w:val="0"/>
        </w:rPr>
        <w:t xml:space="preserve">; Clair3 </w:t>
      </w:r>
      <w:r>
        <w:rPr>
          <w:rFonts w:ascii="Courier New" w:hAnsi="Courier New"/>
          <w:sz w:val="20"/>
        </w:rPr>
        <w:t>r1041_e82_400bps_sup_v520</w:t>
      </w:r>
      <w:r>
        <w:rPr>
          <w:b w:val="0"/>
          <w:i w:val="0"/>
        </w:rPr>
        <w:t xml:space="preserve">; DeepVariant </w:t>
      </w:r>
      <w:r>
        <w:rPr>
          <w:rFonts w:ascii="Courier New" w:hAnsi="Courier New"/>
          <w:sz w:val="20"/>
        </w:rPr>
        <w:t>ONT_R104</w:t>
      </w:r>
      <w:r>
        <w:rPr>
          <w:b w:val="0"/>
          <w:i w:val="0"/>
        </w:rPr>
        <w:t xml:space="preserve">; DeepSomatic </w:t>
      </w:r>
      <w:r>
        <w:rPr>
          <w:rFonts w:ascii="Courier New" w:hAnsi="Courier New"/>
          <w:sz w:val="20"/>
        </w:rPr>
        <w:t>ONT</w:t>
      </w:r>
      <w:r>
        <w:rPr>
          <w:b w:val="0"/>
          <w:i w:val="0"/>
        </w:rPr>
        <w:t xml:space="preserve">) and at the lowest allele fraction it accepts (ClairS </w:t>
      </w:r>
      <w:r>
        <w:rPr>
          <w:rFonts w:ascii="Courier New" w:hAnsi="Courier New"/>
          <w:sz w:val="20"/>
        </w:rPr>
        <w:t>--snv_min_af 0.005 --min_coverage 4</w:t>
      </w:r>
      <w:r>
        <w:rPr>
          <w:b w:val="0"/>
          <w:i w:val="0"/>
        </w:rPr>
        <w:t xml:space="preserve">; Clair3 </w:t>
      </w:r>
      <w:r>
        <w:rPr>
          <w:rFonts w:ascii="Courier New" w:hAnsi="Courier New"/>
          <w:sz w:val="20"/>
        </w:rPr>
        <w:t>--snp_min_af 0.01 --min_coverage 4</w:t>
      </w:r>
      <w:r>
        <w:rPr>
          <w:b w:val="0"/>
          <w:i w:val="0"/>
        </w:rPr>
        <w:t xml:space="preserve">; DeepVariant and DeepSomatic candidate thresholds of 1% and 0.5% of reads, with two supporting reads). PRJNA1481264 reports PromethION sequencing without the chemistry, so the same R10.4.1 models were used for Sμ and </w:t>
      </w:r>
      <w:r>
        <w:rPr>
          <w:i/>
        </w:rPr>
        <w:t>Pim1</w:t>
      </w:r>
      <w:r>
        <w:rPr>
          <w:b w:val="0"/>
          <w:i w:val="0"/>
        </w:rPr>
        <w:t>;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i w:val="0"/>
          <w:vertAlign w:val="subscript"/>
        </w:rPr>
        <w:t>H</w:t>
      </w:r>
      <w:r>
        <w:rPr>
          <w:b w:val="0"/>
          <w:i w:val="0"/>
        </w:rPr>
        <w:t>4 control, which otherwise carries few mutations. ClairS and DeepSomatic were also run on the real AID-active libraries: the wild-type J</w:t>
      </w:r>
      <w:r>
        <w:rPr>
          <w:i w:val="0"/>
          <w:vertAlign w:val="subscript"/>
        </w:rPr>
        <w:t>H</w:t>
      </w:r>
      <w:r>
        <w:rPr>
          <w:b w:val="0"/>
          <w:i w:val="0"/>
        </w:rPr>
        <w:t xml:space="preserve">4 libraries against the pooled </w:t>
      </w:r>
      <w:r>
        <w:rPr>
          <w:i/>
        </w:rPr>
        <w:t>Aicda</w:t>
      </w:r>
      <w:r>
        <w:rPr>
          <w:i w:val="0"/>
          <w:vertAlign w:val="superscript"/>
        </w:rPr>
        <w:t>−/−</w:t>
      </w:r>
      <w:r>
        <w:rPr>
          <w:b w:val="0"/>
          <w:i w:val="0"/>
        </w:rPr>
        <w:t xml:space="preserve"> reads, and the pMX-</w:t>
      </w:r>
      <w:r>
        <w:rPr>
          <w:i/>
        </w:rPr>
        <w:t>Aicda</w:t>
      </w:r>
      <w:r>
        <w:rPr>
          <w:b w:val="0"/>
          <w:i w:val="0"/>
        </w:rPr>
        <w:t xml:space="preserve"> N114 V</w:t>
      </w:r>
      <w:r>
        <w:rPr>
          <w:i w:val="0"/>
          <w:vertAlign w:val="subscript"/>
        </w:rPr>
        <w:t>H</w:t>
      </w:r>
      <w:r>
        <w:rPr>
          <w:b w:val="0"/>
          <w:i w:val="0"/>
        </w:rPr>
        <w:t xml:space="preserve"> subclones against the pooled empty-vector reads (500 reads each, seed 0).</w:t>
      </w:r>
    </w:p>
    <w:p>
      <w:r>
        <w:rPr>
          <w:b w:val="0"/>
          <w:i w:val="0"/>
        </w:rPr>
        <w:t>On real J</w:t>
      </w:r>
      <w:r>
        <w:rPr>
          <w:i w:val="0"/>
          <w:vertAlign w:val="subscript"/>
        </w:rPr>
        <w:t>H</w:t>
      </w:r>
      <w:r>
        <w:rPr>
          <w:b w:val="0"/>
          <w:i w:val="0"/>
        </w:rP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hyperlink w:anchor="fig_4" w:history="1">
        <w:r>
          <w:rPr>
            <w:b w:val="0"/>
            <w:i w:val="0"/>
            <w:color w:val="1F5FA8"/>
          </w:rPr>
          <w:t>Figure 4</w:t>
        </w:r>
      </w:hyperlink>
      <w:r>
        <w:rPr>
          <w:b w:val="0"/>
          <w:i w:val="0"/>
        </w:rPr>
        <w:t>'s unique-density separation ranged 16–62-fold for Geneious and 2–40-fold across LoFreq settings. J</w:t>
      </w:r>
      <w:r>
        <w:rPr>
          <w:i w:val="0"/>
          <w:vertAlign w:val="subscript"/>
        </w:rPr>
        <w:t>H</w:t>
      </w:r>
      <w:r>
        <w:rPr>
          <w:b w:val="0"/>
          <w:i w:val="0"/>
        </w:rP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r>
        <w:rPr>
          <w:b w:val="0"/>
          <w:i w:val="0"/>
        </w:rPr>
        <w:t>Across the four planted datasets, permissive DeepSomatic produced at most 0.4 false calls per library under the evaluated settings.</w:t>
      </w:r>
    </w:p>
    <w:p>
      <w:pPr>
        <w:keepNext/>
        <w:spacing w:before="160"/>
      </w:pPr>
      <w:r>
        <w:rPr>
          <w:b/>
          <w:i w:val="0"/>
          <w:sz w:val="22"/>
        </w:rPr>
        <w:t>Simulations</w:t>
      </w:r>
    </w:p>
    <w:p>
      <w:r>
        <w:rPr>
          <w:b w:val="0"/>
          <w:i w:val="0"/>
        </w:rP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i w:val="0"/>
          <w:vertAlign w:val="subscript"/>
        </w:rPr>
        <w:t>H</w:t>
      </w:r>
      <w:r>
        <w:rPr>
          <w:b w:val="0"/>
          <w:i w:val="0"/>
        </w:rP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 Junction clustering recovered clone assignments with adjusted Rand indices</w:t>
      </w:r>
      <w:hyperlink w:anchor="ref_51" w:history="1">
        <w:r>
          <w:rPr>
            <w:i w:val="0"/>
            <w:color w:val="1F5FA8"/>
            <w:vertAlign w:val="superscript"/>
          </w:rPr>
          <w:t>51</w:t>
        </w:r>
      </w:hyperlink>
      <w:r>
        <w:rPr>
          <w:b w:val="0"/>
          <w:i w:val="0"/>
        </w:rPr>
        <w:t xml:space="preserve"> of 0.94–0.98.</w:t>
      </w:r>
    </w:p>
    <w:p>
      <w:pPr>
        <w:keepNext/>
        <w:spacing w:before="160"/>
      </w:pPr>
      <w:r>
        <w:rPr>
          <w:b/>
          <w:i w:val="0"/>
          <w:sz w:val="22"/>
        </w:rPr>
        <w:t>Public Illumina and UMI datasets</w:t>
      </w:r>
    </w:p>
    <w:p>
      <w:r>
        <w:rPr>
          <w:b w:val="0"/>
          <w:i w:val="0"/>
        </w:rPr>
        <w:t>PRJNA973112 (J</w:t>
      </w:r>
      <w:r>
        <w:rPr>
          <w:i w:val="0"/>
          <w:vertAlign w:val="subscript"/>
        </w:rPr>
        <w:t>H</w:t>
      </w:r>
      <w:r>
        <w:rPr>
          <w:b w:val="0"/>
          <w:i w:val="0"/>
        </w:rP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1" w:history="1">
        <w:r>
          <w:rPr>
            <w:b w:val="0"/>
            <w:i w:val="0"/>
            <w:color w:val="1F5FA8"/>
          </w:rPr>
          <w:t>Figure S21</w:t>
        </w:r>
      </w:hyperlink>
      <w:r>
        <w:rPr>
          <w:b w:val="0"/>
          <w:i w:val="0"/>
        </w:rP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4" w:history="1">
        <w:r>
          <w:rPr>
            <w:i w:val="0"/>
            <w:color w:val="1F5FA8"/>
            <w:vertAlign w:val="superscript"/>
          </w:rPr>
          <w:t>44</w:t>
        </w:r>
      </w:hyperlink>
      <w:r>
        <w:rPr>
          <w:b w:val="0"/>
          <w:i w:val="0"/>
        </w:rPr>
        <w:t>. Reads were grouped by UMI (allowing up to three edits per end, with directional merging of rare UMIs), and each group of three or more reads was collapsed into one quality-weighted consensus, which was scored against the 43 known operon sequences of the mock community. On these dual-UMI R10 rRNA-operon reads</w:t>
      </w:r>
      <w:hyperlink w:anchor="ref_44" w:history="1">
        <w:r>
          <w:rPr>
            <w:i w:val="0"/>
            <w:color w:val="1F5FA8"/>
            <w:vertAlign w:val="superscript"/>
          </w:rPr>
          <w:t>44</w:t>
        </w:r>
      </w:hyperlink>
      <w:r>
        <w:rPr>
          <w:b w:val="0"/>
          <w:i w:val="0"/>
        </w:rPr>
        <w:t>, consensus reduced error 57-fold (95% CI 35–99) to 0.17%, with residual errors concentrated in homopolymer indels; at ≥10 reads per family, substitution error approached one per 10,000 bases (</w:t>
      </w:r>
      <w:hyperlink w:anchor="fig_S8" w:history="1">
        <w:r>
          <w:rPr>
            <w:b w:val="0"/>
            <w:i w:val="0"/>
            <w:color w:val="1F5FA8"/>
          </w:rPr>
          <w:t>Figure S8H</w:t>
        </w:r>
      </w:hyperlink>
      <w:r>
        <w:rPr>
          <w:b w:val="0"/>
          <w:i w:val="0"/>
        </w:rPr>
        <w:t>). This is a technical consensus benchmark rather than an SHM experiment.</w:t>
      </w:r>
    </w:p>
    <w:p>
      <w:r>
        <w:rPr>
          <w:b w:val="0"/>
          <w:i w:val="0"/>
        </w:rP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r>
        <w:rPr>
          <w:b w:val="0"/>
          <w:i w:val="0"/>
        </w:rPr>
        <w:t>The source study's Q&gt;20 every-mismatch counts gave inactive-AID background of 0.31–0.72 per 10</w:t>
      </w:r>
      <w:r>
        <w:rPr>
          <w:i w:val="0"/>
          <w:vertAlign w:val="superscript"/>
        </w:rPr>
        <w:t>3</w:t>
      </w:r>
      <w:r>
        <w:rPr>
          <w:b w:val="0"/>
          <w:i w:val="0"/>
        </w:rP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pPr>
        <w:keepNext/>
        <w:spacing w:before="160"/>
      </w:pPr>
      <w:r>
        <w:rPr>
          <w:b/>
          <w:i w:val="0"/>
          <w:sz w:val="22"/>
        </w:rPr>
        <w:t>Public PacBio class-switch junctions</w:t>
      </w:r>
    </w:p>
    <w:p>
      <w:r>
        <w:rPr>
          <w:b w:val="0"/>
          <w:i w:val="0"/>
        </w:rPr>
        <w:t>PRJNA831666</w:t>
      </w:r>
      <w:hyperlink w:anchor="ref_43" w:history="1">
        <w:r>
          <w:rPr>
            <w:i w:val="0"/>
            <w:color w:val="1F5FA8"/>
            <w:vertAlign w:val="superscript"/>
          </w:rPr>
          <w:t>43</w:t>
        </w:r>
      </w:hyperlink>
      <w:r>
        <w:rPr>
          <w:b w:val="0"/>
          <w:i w:val="0"/>
        </w:rPr>
        <w:t xml:space="preserve"> holds Sμ–Sγ1 switch products from wild-type, </w:t>
      </w:r>
      <w:r>
        <w:rPr>
          <w:i/>
        </w:rPr>
        <w:t>Shld1</w:t>
      </w:r>
      <w:r>
        <w:rPr>
          <w:i w:val="0"/>
          <w:vertAlign w:val="superscript"/>
        </w:rPr>
        <w:t>−/−</w:t>
      </w:r>
      <w:r>
        <w:rPr>
          <w:b w:val="0"/>
          <w:i w:val="0"/>
        </w:rPr>
        <w:t xml:space="preserve">, </w:t>
      </w:r>
      <w:r>
        <w:rPr>
          <w:i/>
        </w:rPr>
        <w:t>Xlf</w:t>
      </w:r>
      <w:r>
        <w:rPr>
          <w:i w:val="0"/>
          <w:vertAlign w:val="superscript"/>
        </w:rPr>
        <w:t>−/−</w:t>
      </w:r>
      <w:r>
        <w:rPr>
          <w:b w:val="0"/>
          <w:i w:val="0"/>
        </w:rPr>
        <w:t xml:space="preserve"> and </w:t>
      </w:r>
      <w:r>
        <w:rPr>
          <w:i/>
        </w:rPr>
        <w:t>Shld1</w:t>
      </w:r>
      <w:r>
        <w:rPr>
          <w:i w:val="0"/>
          <w:vertAlign w:val="superscript"/>
        </w:rPr>
        <w:t>−/−</w:t>
      </w:r>
      <w:r>
        <w:rPr>
          <w:i/>
        </w:rPr>
        <w:t>Xlf</w:t>
      </w:r>
      <w:r>
        <w:rPr>
          <w:i w:val="0"/>
          <w:vertAlign w:val="superscript"/>
        </w:rPr>
        <w:t>−/−</w:t>
      </w:r>
      <w:r>
        <w:rPr>
          <w:b w:val="0"/>
          <w:i w:val="0"/>
        </w:rP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rPr>
          <w:b w:val="0"/>
          <w:i w:val="0"/>
        </w:rPr>
        <w:t xml:space="preserve"> preset was used in place of the module's </w:t>
      </w:r>
      <w:r>
        <w:rPr>
          <w:rFonts w:ascii="Courier New" w:hAnsi="Courier New"/>
          <w:sz w:val="20"/>
        </w:rPr>
        <w:t>map-ont</w:t>
      </w:r>
      <w:r>
        <w:rPr>
          <w:b w:val="0"/>
          <w:i w:val="0"/>
        </w:rP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rPr>
          <w:b w:val="0"/>
          <w:i w:val="0"/>
        </w:rPr>
        <w:t>, which refuses to write unless the project's own J</w:t>
      </w:r>
      <w:r>
        <w:rPr>
          <w:i w:val="0"/>
          <w:vertAlign w:val="subscript"/>
        </w:rPr>
        <w:t>H</w:t>
      </w:r>
      <w:r>
        <w:rPr>
          <w:b w:val="0"/>
          <w:i w:val="0"/>
        </w:rPr>
        <w:t xml:space="preserve">4 reference and the bundled Sμ fragment both align inside the fetched locus). Junctions were called with </w:t>
      </w:r>
      <w:r>
        <w:rPr>
          <w:rFonts w:ascii="Courier New" w:hAnsi="Courier New"/>
          <w:sz w:val="20"/>
        </w:rPr>
        <w:t>shmtrace.switch</w:t>
      </w:r>
      <w:r>
        <w:rPr>
          <w:b w:val="0"/>
          <w:i w:val="0"/>
        </w:rPr>
        <w:t xml:space="preserve"> (</w:t>
      </w:r>
      <w:r>
        <w:rPr>
          <w:rFonts w:ascii="Courier New" w:hAnsi="Courier New"/>
          <w:sz w:val="20"/>
        </w:rPr>
        <w:t>crm/switch_pacbio.py</w:t>
      </w:r>
      <w:r>
        <w:rPr>
          <w:b w:val="0"/>
          <w:i w:val="0"/>
        </w:rP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8" w:history="1">
        <w:r>
          <w:rPr>
            <w:b w:val="0"/>
            <w:i w:val="0"/>
            <w:color w:val="1F5FA8"/>
          </w:rPr>
          <w:t>Figure S18A</w:t>
        </w:r>
      </w:hyperlink>
      <w:r>
        <w:rPr>
          <w:b w:val="0"/>
          <w:i w:val="0"/>
        </w:rP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rPr>
          <w:b w:val="0"/>
          <w:i w:val="0"/>
        </w:rP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i w:val="0"/>
          <w:vertAlign w:val="superscript"/>
        </w:rPr>
        <w:t>−/−</w:t>
      </w:r>
      <w:r>
        <w:rPr>
          <w:b w:val="0"/>
          <w:i w:val="0"/>
        </w:rPr>
        <w:t xml:space="preserve"> strengthens from p = 0.065 to 0.005, and insertions in </w:t>
      </w:r>
      <w:r>
        <w:rPr>
          <w:i/>
        </w:rPr>
        <w:t>Xlf</w:t>
      </w:r>
      <w:r>
        <w:rPr>
          <w:i w:val="0"/>
          <w:vertAlign w:val="superscript"/>
        </w:rPr>
        <w:t>−/−</w:t>
      </w:r>
      <w:r>
        <w:rPr>
          <w:b w:val="0"/>
          <w:i w:val="0"/>
        </w:rPr>
        <w:t xml:space="preserve"> weaken from p = 0.016 to 0.060. Those two should be read as provisional. Because reads per unique junction vary between samples, counts reflect PCR recovery rather than switching efficiency, and 19–47% of unique junctions place equally well at more than one acceptor position.</w:t>
      </w:r>
    </w:p>
    <w:p>
      <w:r>
        <w:rPr>
          <w:b w:val="0"/>
          <w:i w:val="0"/>
        </w:rPr>
        <w:t xml:space="preserve">Mean-microhomology comparisons against Wt gave p=0.92 for </w:t>
      </w:r>
      <w:r>
        <w:rPr>
          <w:i/>
        </w:rPr>
        <w:t>Shld1</w:t>
      </w:r>
      <w:r>
        <w:rPr>
          <w:b w:val="0"/>
          <w:i w:val="0"/>
        </w:rPr>
        <w:t xml:space="preserve">, 0.0092 for </w:t>
      </w:r>
      <w:r>
        <w:rPr>
          <w:i/>
        </w:rPr>
        <w:t>Xlf</w:t>
      </w:r>
      <w:r>
        <w:rPr>
          <w:b w:val="0"/>
          <w:i w:val="0"/>
        </w:rPr>
        <w:t xml:space="preserve"> and 9.3 × 10</w:t>
      </w:r>
      <w:r>
        <w:rPr>
          <w:i w:val="0"/>
          <w:vertAlign w:val="superscript"/>
        </w:rPr>
        <w:t>−5</w:t>
      </w:r>
      <w:r>
        <w:rPr>
          <w:b w:val="0"/>
          <w:i w:val="0"/>
        </w:rPr>
        <w:t xml:space="preserve"> for the double mutant. The ≥4-nt share rose from 7% to 18% (p=0.0053), and blunt junctions fell from 21% to 7% (p=0.0028). </w:t>
      </w:r>
      <w:r>
        <w:rPr>
          <w:i/>
        </w:rPr>
        <w:t>Shld1</w:t>
      </w:r>
      <w:r>
        <w:rPr>
          <w:b w:val="0"/>
          <w:i w:val="0"/>
        </w:rPr>
        <w:t xml:space="preserve"> insertion-bearing junctions were 48% versus 31% in Wt (p=0.0074). Reads per unique junction ranged 1.1–23.3; inferred structures do not measure switching efficiency.</w:t>
      </w:r>
    </w:p>
    <w:p>
      <w:pPr>
        <w:keepNext/>
        <w:spacing w:before="160"/>
      </w:pPr>
      <w:r>
        <w:rPr>
          <w:b/>
          <w:i w:val="0"/>
          <w:sz w:val="22"/>
        </w:rPr>
        <w:t>Public engineered-diversification datasets</w:t>
      </w:r>
    </w:p>
    <w:p>
      <w:r>
        <w:rPr>
          <w:b w:val="0"/>
          <w:i w:val="0"/>
        </w:rPr>
        <w:t xml:space="preserve">Two datasets in which a deaminase is directed deliberately were analysed against the construct each experiment began with, which is what </w:t>
      </w:r>
      <w:r>
        <w:rPr>
          <w:rFonts w:ascii="Courier New" w:hAnsi="Courier New"/>
          <w:sz w:val="20"/>
        </w:rPr>
        <w:t>ancestral_reference</w:t>
      </w:r>
      <w:r>
        <w:rPr>
          <w:b w:val="0"/>
          <w:i w:val="0"/>
        </w:rP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rPr>
          <w:b w:val="0"/>
          <w:i w:val="0"/>
        </w:rPr>
        <w:t xml:space="preserve"> shows what it does and does not alter). SRP159221</w:t>
      </w:r>
      <w:hyperlink w:anchor="ref_40" w:history="1">
        <w:r>
          <w:rPr>
            <w:i w:val="0"/>
            <w:color w:val="1F5FA8"/>
            <w:vertAlign w:val="superscript"/>
          </w:rPr>
          <w:t>40</w:t>
        </w:r>
      </w:hyperlink>
      <w:r>
        <w:rPr>
          <w:b w:val="0"/>
          <w:i w:val="0"/>
        </w:rP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rPr>
          <w:b w:val="0"/>
          <w:i w:val="0"/>
        </w:rPr>
        <w:t>). Motif and spectrum shares are descriptive: they are computed from whatever was called and never used to decide what to call. The anti-HLA-A2 clones</w:t>
      </w:r>
      <w:hyperlink w:anchor="ref_41" w:history="1">
        <w:r>
          <w:rPr>
            <w:i w:val="0"/>
            <w:color w:val="1F5FA8"/>
            <w:vertAlign w:val="superscript"/>
          </w:rPr>
          <w:t>41</w:t>
        </w:r>
      </w:hyperlink>
      <w:r>
        <w:rPr>
          <w:b w:val="0"/>
          <w:i w:val="0"/>
        </w:rP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rPr>
          <w:b w:val="0"/>
          <w:i w:val="0"/>
        </w:rPr>
        <w:t xml:space="preserve">). Comparing the two lists position by position, SHMtrace recovers </w:t>
      </w:r>
      <w:r>
        <w:rPr>
          <w:b/>
          <w:i w:val="0"/>
        </w:rPr>
        <w:t>every one of the 150 mutations the authors report across the 42 selected clusters, and calls nothing they do not report</w:t>
      </w:r>
      <w:r>
        <w:rPr>
          <w:b w:val="0"/>
          <w:i w:val="0"/>
        </w:rP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pPr>
        <w:keepNext/>
        <w:spacing w:before="160"/>
      </w:pPr>
      <w:r>
        <w:rPr>
          <w:b/>
          <w:i w:val="0"/>
          <w:sz w:val="22"/>
        </w:rPr>
        <w:t>Public Illumina Sμ mutation libraries</w:t>
      </w:r>
    </w:p>
    <w:p>
      <w:r>
        <w:rPr>
          <w:b w:val="0"/>
          <w:i w:val="0"/>
        </w:rPr>
        <w:t>GSE77788</w:t>
      </w:r>
      <w:hyperlink w:anchor="ref_42" w:history="1">
        <w:r>
          <w:rPr>
            <w:i w:val="0"/>
            <w:color w:val="1F5FA8"/>
            <w:vertAlign w:val="superscript"/>
          </w:rPr>
          <w:t>42</w:t>
        </w:r>
      </w:hyperlink>
      <w:r>
        <w:rPr>
          <w:b w:val="0"/>
          <w:i w:val="0"/>
        </w:rP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rPr>
          <w:b w:val="0"/>
          <w:i w:val="0"/>
        </w:rPr>
        <w:t>).</w:t>
      </w:r>
    </w:p>
    <w:p>
      <w:pPr>
        <w:keepNext/>
        <w:spacing w:before="160"/>
      </w:pPr>
      <w:r>
        <w:rPr>
          <w:b/>
          <w:i w:val="0"/>
          <w:sz w:val="23"/>
        </w:rPr>
        <w:t>Quantification and statistical analysis</w:t>
      </w:r>
    </w:p>
    <w:p>
      <w:r>
        <w:rPr>
          <w:b w:val="0"/>
          <w:i w:val="0"/>
        </w:rPr>
        <w:t xml:space="preserve">Groups were compared with one value per library, each library being one animal, subclone, clone, culture or experiment as </w:t>
      </w:r>
      <w:hyperlink w:anchor="tab_S2" w:history="1">
        <w:r>
          <w:rPr>
            <w:b w:val="0"/>
            <w:i w:val="0"/>
            <w:color w:val="1F5FA8"/>
          </w:rPr>
          <w:t>Table S2</w:t>
        </w:r>
      </w:hyperlink>
      <w:r>
        <w:rPr>
          <w:b w:val="0"/>
          <w:i w:val="0"/>
        </w:rPr>
        <w:t xml:space="preserve"> states; reads were never treated as replicates. The Welch test on log</w:t>
      </w:r>
      <w:r>
        <w:rPr>
          <w:i w:val="0"/>
          <w:vertAlign w:val="subscript"/>
        </w:rPr>
        <w:t>10</w:t>
      </w:r>
      <w:r>
        <w:rPr>
          <w:b w:val="0"/>
          <w:i w:val="0"/>
        </w:rPr>
        <w:t xml:space="preserve"> rates is the primary test throughout, chosen before the analyses reported here; the negative-binomial and permutation tests are reported alongside it as sensitivity analyses, and </w:t>
      </w:r>
      <w:hyperlink w:anchor="fig_S8" w:history="1">
        <w:r>
          <w:rPr>
            <w:b w:val="0"/>
            <w:i w:val="0"/>
            <w:color w:val="1F5FA8"/>
          </w:rPr>
          <w:t>Figure S8E</w:t>
        </w:r>
      </w:hyperlink>
      <w:r>
        <w:rPr>
          <w:b w:val="0"/>
          <w:i w:val="0"/>
        </w:rPr>
        <w:t xml:space="preserve"> compares all three. The negative-binomial test models each library's mutation count k with mean n·r, where n is that library's bases and r its group's rate, and variance n·r + φ(n·r)</w:t>
      </w:r>
      <w:r>
        <w:rPr>
          <w:i w:val="0"/>
          <w:vertAlign w:val="superscript"/>
        </w:rPr>
        <w:t>2</w:t>
      </w:r>
      <w:r>
        <w:rPr>
          <w:b w:val="0"/>
          <w:i w:val="0"/>
        </w:rP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i w:val="0"/>
          <w:vertAlign w:val="superscript"/>
        </w:rPr>
        <w:t>2</w:t>
      </w:r>
      <w:r>
        <w:rPr>
          <w:b w:val="0"/>
          <w:i w:val="0"/>
        </w:rP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8" w:history="1">
        <w:r>
          <w:rPr>
            <w:b w:val="0"/>
            <w:i w:val="0"/>
            <w:color w:val="1F5FA8"/>
          </w:rPr>
          <w:t>Figure S8E</w:t>
        </w:r>
      </w:hyperlink>
      <w:r>
        <w:rPr>
          <w:b w:val="0"/>
          <w:i w:val="0"/>
        </w:rPr>
        <w:t xml:space="preserve"> is therefore arithmetic, not a property of the data, and it is why the Welch test is primary at these group sizes. Each cell of </w:t>
      </w:r>
      <w:hyperlink w:anchor="fig_S8" w:history="1">
        <w:r>
          <w:rPr>
            <w:b w:val="0"/>
            <w:i w:val="0"/>
            <w:color w:val="1F5FA8"/>
          </w:rPr>
          <w:t>Figure S8E</w:t>
        </w:r>
      </w:hyperlink>
      <w:r>
        <w:rPr>
          <w:b w:val="0"/>
          <w:i w:val="0"/>
        </w:rP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i w:val="0"/>
          <w:vertAlign w:val="subscript"/>
        </w:rPr>
        <w:t>10</w:t>
      </w:r>
      <w:r>
        <w:rPr>
          <w:b w:val="0"/>
          <w:i w:val="0"/>
        </w:rP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48" w:history="1">
        <w:r>
          <w:rPr>
            <w:i w:val="0"/>
            <w:color w:val="1F5FA8"/>
            <w:vertAlign w:val="superscript"/>
          </w:rPr>
          <w:t>48</w:t>
        </w:r>
      </w:hyperlink>
      <w:r>
        <w:rPr>
          <w:b w:val="0"/>
          <w:i w:val="0"/>
        </w:rPr>
        <w:t>. For the two CH12 off-target loci, Welch tests on mutation frequency gave p = 0.024 (off-target 1) and 0.030 (off-target 2).</w:t>
      </w:r>
    </w:p>
    <w:p>
      <w:pPr>
        <w:keepNext/>
        <w:pageBreakBefore/>
        <w:spacing w:before="240"/>
      </w:pPr>
      <w:r>
        <w:rPr>
          <w:b/>
          <w:i w:val="0"/>
          <w:sz w:val="26"/>
        </w:rPr>
        <w:t>Document S1. Supplemental figures and tables</w:t>
      </w:r>
    </w:p>
    <w:p>
      <w:pPr>
        <w:keepNext w:val="0"/>
        <w:pageBreakBefore/>
        <w:jc w:val="center"/>
      </w:pPr>
      <w:r>
        <w:drawing>
          <wp:inline xmlns:a="http://schemas.openxmlformats.org/drawingml/2006/main" xmlns:pic="http://schemas.openxmlformats.org/drawingml/2006/picture">
            <wp:extent cx="6264000" cy="5512320"/>
            <wp:docPr id="8" name="Picture 8"/>
            <wp:cNvGraphicFramePr>
              <a:graphicFrameLocks noChangeAspect="1"/>
            </wp:cNvGraphicFramePr>
            <a:graphic>
              <a:graphicData uri="http://schemas.openxmlformats.org/drawingml/2006/picture">
                <pic:pic>
                  <pic:nvPicPr>
                    <pic:cNvPr id="0" name="FigureS1_workflow_preview.png"/>
                    <pic:cNvPicPr/>
                  </pic:nvPicPr>
                  <pic:blipFill>
                    <a:blip r:embed="rId17"/>
                    <a:stretch>
                      <a:fillRect/>
                    </a:stretch>
                  </pic:blipFill>
                  <pic:spPr>
                    <a:xfrm>
                      <a:off x="0" y="0"/>
                      <a:ext cx="6264000" cy="551232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4607317"/>
            <wp:docPr id="9" name="Picture 9"/>
            <wp:cNvGraphicFramePr>
              <a:graphicFrameLocks noChangeAspect="1"/>
            </wp:cNvGraphicFramePr>
            <a:graphic>
              <a:graphicData uri="http://schemas.openxmlformats.org/drawingml/2006/picture">
                <pic:pic>
                  <pic:nvPicPr>
                    <pic:cNvPr id="0" name="FigureS1_read_fates.png"/>
                    <pic:cNvPicPr/>
                  </pic:nvPicPr>
                  <pic:blipFill>
                    <a:blip r:embed="rId18"/>
                    <a:stretch>
                      <a:fillRect/>
                    </a:stretch>
                  </pic:blipFill>
                  <pic:spPr>
                    <a:xfrm>
                      <a:off x="0" y="0"/>
                      <a:ext cx="6264000" cy="4607317"/>
                    </a:xfrm>
                    <a:prstGeom prst="rect"/>
                  </pic:spPr>
                </pic:pic>
              </a:graphicData>
            </a:graphic>
          </wp:inline>
        </w:drawing>
      </w:r>
    </w:p>
    <w:p>
      <w:pPr>
        <w:spacing w:line="240" w:lineRule="auto" w:after="80"/>
        <w:jc w:val="both"/>
      </w:pPr>
      <w:bookmarkStart w:id="9" w:name="fig_S1"/>
      <w:bookmarkEnd w:id="9"/>
      <w:hyperlink w:anchor="fig_S1" w:history="1">
        <w:r>
          <w:rPr>
            <w:b/>
            <w:i w:val="0"/>
            <w:color w:val="1F5FA8"/>
            <w:sz w:val="20"/>
          </w:rPr>
          <w:t>Figure S1</w:t>
        </w:r>
      </w:hyperlink>
      <w:r>
        <w:rPr>
          <w:b/>
          <w:i w:val="0"/>
          <w:sz w:val="20"/>
        </w:rPr>
        <w:t xml:space="preserve">. Detailed workflow, related to </w:t>
      </w:r>
      <w:hyperlink w:anchor="fig_1" w:history="1">
        <w:r>
          <w:rPr>
            <w:b/>
            <w:i w:val="0"/>
            <w:color w:val="1F5FA8"/>
            <w:sz w:val="20"/>
          </w:rPr>
          <w:t>Figure 1</w:t>
        </w:r>
      </w:hyperlink>
      <w:r>
        <w:rPr>
          <w:b/>
          <w:i w:val="0"/>
          <w:sz w:val="20"/>
        </w:rPr>
        <w:t xml:space="preserve">. </w:t>
      </w:r>
      <w:r>
        <w:rPr>
          <w:b w:val="0"/>
          <w:i w:val="0"/>
          <w:sz w:val="20"/>
        </w:rPr>
        <w:t xml:space="preserve">The workflow of </w:t>
      </w:r>
      <w:hyperlink w:anchor="fig_1" w:history="1">
        <w:r>
          <w:rPr>
            <w:b/>
            <w:i w:val="0"/>
            <w:color w:val="1F5FA8"/>
            <w:sz w:val="20"/>
          </w:rPr>
          <w:t>Figure 1</w:t>
        </w:r>
      </w:hyperlink>
      <w:r>
        <w:rPr>
          <w:b w:val="0"/>
          <w:i w:val="0"/>
          <w:sz w:val="20"/>
        </w:rPr>
        <w:t xml:space="preserve"> in full, from the design of the two experiments to the counting of a Sanger clone. </w:t>
      </w:r>
      <w:r>
        <w:rPr>
          <w:b w:val="0"/>
          <w:i w:val="0"/>
          <w:sz w:val="20"/>
        </w:rPr>
        <w:t>(</w:t>
      </w:r>
      <w:r>
        <w:rPr>
          <w:b/>
          <w:i w:val="0"/>
          <w:sz w:val="20"/>
        </w:rPr>
        <w:t>A</w:t>
      </w:r>
      <w:r>
        <w:rPr>
          <w:b w:val="0"/>
          <w:i w:val="0"/>
          <w:sz w:val="20"/>
        </w:rPr>
        <w:t>)</w:t>
      </w:r>
      <w:r>
        <w:rPr>
          <w:b w:val="0"/>
          <w:i w:val="0"/>
          <w:sz w:val="20"/>
        </w:rPr>
        <w:t xml:space="preserve"> Experimental design for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w:t>
      </w:r>
      <w:r>
        <w:rPr>
          <w:b w:val="0"/>
          <w:i w:val="0"/>
          <w:sz w:val="20"/>
        </w:rPr>
        <w:t>(</w:t>
      </w:r>
      <w:r>
        <w:rPr>
          <w:b/>
          <w:i w:val="0"/>
          <w:sz w:val="20"/>
        </w:rPr>
        <w:t>B, C</w:t>
      </w:r>
      <w:r>
        <w:rPr>
          <w:b w:val="0"/>
          <w:i w:val="0"/>
          <w:sz w:val="20"/>
        </w:rPr>
        <w:t>)</w:t>
      </w:r>
      <w:r>
        <w:rPr>
          <w:b w:val="0"/>
          <w:i w:val="0"/>
          <w:sz w:val="20"/>
        </w:rPr>
        <w:t xml:space="preserve"> Read preparation and variant calling from the delivered sequence files, which is the read-library route of </w:t>
      </w:r>
      <w:hyperlink w:anchor="fig_1" w:history="1">
        <w:r>
          <w:rPr>
            <w:b/>
            <w:i w:val="0"/>
            <w:color w:val="1F5FA8"/>
            <w:sz w:val="20"/>
          </w:rPr>
          <w:t>Figure 1C</w:t>
        </w:r>
      </w:hyperlink>
      <w:r>
        <w:rPr>
          <w:b w:val="0"/>
          <w:i w:val="0"/>
          <w:sz w:val="20"/>
        </w:rPr>
        <w:t xml:space="preserve">. By default, an allele carried by 50% or more of the reads is excluded as a likely germline difference; because a mutation driven to that frequency within a dominant clone is removed with it, this is a heuristic and not a test (STAR Methods). </w:t>
      </w:r>
      <w:r>
        <w:rPr>
          <w:b w:val="0"/>
          <w:i w:val="0"/>
          <w:sz w:val="20"/>
        </w:rPr>
        <w:t>(</w:t>
      </w:r>
      <w:r>
        <w:rPr>
          <w:b/>
          <w:i w:val="0"/>
          <w:sz w:val="20"/>
        </w:rPr>
        <w:t>D</w:t>
      </w:r>
      <w:r>
        <w:rPr>
          <w:b w:val="0"/>
          <w:i w:val="0"/>
          <w:sz w:val="20"/>
        </w:rPr>
        <w:t>)</w:t>
      </w:r>
      <w:r>
        <w:rPr>
          <w:b w:val="0"/>
          <w:i w:val="0"/>
          <w:sz w:val="20"/>
        </w:rPr>
        <w:t xml:space="preserve">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 </w:t>
      </w:r>
      <w:r>
        <w:rPr>
          <w:b w:val="0"/>
          <w:i w:val="0"/>
          <w:sz w:val="20"/>
        </w:rPr>
        <w:t>(</w:t>
      </w:r>
      <w:r>
        <w:rPr>
          <w:b/>
          <w:i w:val="0"/>
          <w:sz w:val="20"/>
        </w:rPr>
        <w:t>E</w:t>
      </w:r>
      <w:r>
        <w:rPr>
          <w:b w:val="0"/>
          <w:i w:val="0"/>
          <w:sz w:val="20"/>
        </w:rPr>
        <w:t>)</w:t>
      </w:r>
      <w:r>
        <w:rPr>
          <w:b w:val="0"/>
          <w:i w:val="0"/>
          <w:sz w:val="20"/>
        </w:rPr>
        <w:t xml:space="preserve"> Fate of every delivered read of the J</w:t>
      </w:r>
      <w:r>
        <w:rPr>
          <w:i w:val="0"/>
          <w:sz w:val="20"/>
          <w:vertAlign w:val="subscript"/>
        </w:rPr>
        <w:t>H</w:t>
      </w:r>
      <w:r>
        <w:rPr>
          <w:b w:val="0"/>
          <w:i w:val="0"/>
          <w:sz w:val="20"/>
        </w:rPr>
        <w:t>4 and N114 V</w:t>
      </w:r>
      <w:r>
        <w:rPr>
          <w:i w:val="0"/>
          <w:sz w:val="20"/>
          <w:vertAlign w:val="subscript"/>
        </w:rPr>
        <w:t>H</w:t>
      </w:r>
      <w:r>
        <w:rPr>
          <w:b w:val="0"/>
          <w:i w:val="0"/>
          <w:sz w:val="20"/>
        </w:rPr>
        <w:t xml:space="preserve"> libraries through SHMtrace's read preparation, as a share of delivered reads; numbers above bars, reads delivered. </w:t>
      </w:r>
      <w:r>
        <w:rPr>
          <w:b w:val="0"/>
          <w:i w:val="0"/>
          <w:sz w:val="20"/>
        </w:rPr>
        <w:t>(</w:t>
      </w:r>
      <w:r>
        <w:rPr>
          <w:b/>
          <w:i w:val="0"/>
          <w:sz w:val="20"/>
        </w:rPr>
        <w:t>F</w:t>
      </w:r>
      <w:r>
        <w:rPr>
          <w:b w:val="0"/>
          <w:i w:val="0"/>
          <w:sz w:val="20"/>
        </w:rPr>
        <w:t>)</w:t>
      </w:r>
      <w:r>
        <w:rPr>
          <w:b w:val="0"/>
          <w:i w:val="0"/>
          <w:sz w:val="20"/>
        </w:rPr>
        <w:t xml:space="preserve"> Identity to the J</w:t>
      </w:r>
      <w:r>
        <w:rPr>
          <w:i w:val="0"/>
          <w:sz w:val="20"/>
          <w:vertAlign w:val="subscript"/>
        </w:rPr>
        <w:t>H</w:t>
      </w:r>
      <w:r>
        <w:rPr>
          <w:b w:val="0"/>
          <w:i w:val="0"/>
          <w:sz w:val="20"/>
        </w:rPr>
        <w:t xml:space="preserve">4 target and to its paralog after competitive alignment, for the first 400 reads of the bundled Wt3 example library (every second target-assigned read drawn); each read is assigned to whichever it matches better. Experimental details: as in </w:t>
      </w:r>
      <w:hyperlink w:anchor="fig_5" w:history="1">
        <w:r>
          <w:rPr>
            <w:b/>
            <w:i w:val="0"/>
            <w:color w:val="1F5FA8"/>
            <w:sz w:val="20"/>
          </w:rPr>
          <w:t>Figure 5</w:t>
        </w:r>
      </w:hyperlink>
      <w:r>
        <w:rPr>
          <w:b w:val="0"/>
          <w:i w:val="0"/>
          <w:sz w:val="20"/>
        </w:rPr>
        <w:t xml:space="preserve"> for J</w:t>
      </w:r>
      <w:r>
        <w:rPr>
          <w:i w:val="0"/>
          <w:sz w:val="20"/>
          <w:vertAlign w:val="subscript"/>
        </w:rPr>
        <w:t>H</w:t>
      </w:r>
      <w:r>
        <w:rPr>
          <w:b w:val="0"/>
          <w:i w:val="0"/>
          <w:sz w:val="20"/>
        </w:rPr>
        <w:t xml:space="preserve">4 and </w:t>
      </w:r>
      <w:hyperlink w:anchor="fig_4" w:history="1">
        <w:r>
          <w:rPr>
            <w:b/>
            <w:i w:val="0"/>
            <w:color w:val="1F5FA8"/>
            <w:sz w:val="20"/>
          </w:rPr>
          <w:t>Figure 4</w:t>
        </w:r>
      </w:hyperlink>
      <w:r>
        <w:rPr>
          <w:b w:val="0"/>
          <w:i w:val="0"/>
          <w:sz w:val="20"/>
        </w:rPr>
        <w:t xml:space="preserve"> for N114 V</w:t>
      </w:r>
      <w:r>
        <w:rPr>
          <w:i w:val="0"/>
          <w:sz w:val="20"/>
          <w:vertAlign w:val="subscript"/>
        </w:rPr>
        <w:t>H</w:t>
      </w:r>
      <w:r>
        <w:rPr>
          <w:b w:val="0"/>
          <w:i w:val="0"/>
          <w:sz w:val="20"/>
        </w:rPr>
        <w:t>.</w:t>
      </w:r>
    </w:p>
    <w:p>
      <w:pPr>
        <w:keepNext/>
        <w:pageBreakBefore/>
        <w:jc w:val="center"/>
      </w:pPr>
      <w:r>
        <w:drawing>
          <wp:inline xmlns:a="http://schemas.openxmlformats.org/drawingml/2006/main" xmlns:pic="http://schemas.openxmlformats.org/drawingml/2006/picture">
            <wp:extent cx="6264000" cy="6782099"/>
            <wp:docPr id="10" name="Picture 10"/>
            <wp:cNvGraphicFramePr>
              <a:graphicFrameLocks noChangeAspect="1"/>
            </wp:cNvGraphicFramePr>
            <a:graphic>
              <a:graphicData uri="http://schemas.openxmlformats.org/drawingml/2006/picture">
                <pic:pic>
                  <pic:nvPicPr>
                    <pic:cNvPr id="0" name="FigureS2.png"/>
                    <pic:cNvPicPr/>
                  </pic:nvPicPr>
                  <pic:blipFill>
                    <a:blip r:embed="rId19"/>
                    <a:stretch>
                      <a:fillRect/>
                    </a:stretch>
                  </pic:blipFill>
                  <pic:spPr>
                    <a:xfrm>
                      <a:off x="0" y="0"/>
                      <a:ext cx="6264000" cy="6782099"/>
                    </a:xfrm>
                    <a:prstGeom prst="rect"/>
                  </pic:spPr>
                </pic:pic>
              </a:graphicData>
            </a:graphic>
          </wp:inline>
        </w:drawing>
      </w:r>
    </w:p>
    <w:p>
      <w:pPr>
        <w:spacing w:line="240" w:lineRule="auto" w:after="80"/>
        <w:jc w:val="both"/>
      </w:pPr>
      <w:bookmarkStart w:id="10" w:name="fig_S2"/>
      <w:bookmarkEnd w:id="10"/>
      <w:hyperlink w:anchor="fig_S2" w:history="1">
        <w:r>
          <w:rPr>
            <w:b/>
            <w:i w:val="0"/>
            <w:color w:val="1F5FA8"/>
            <w:sz w:val="20"/>
          </w:rPr>
          <w:t>Figure S2</w:t>
        </w:r>
      </w:hyperlink>
      <w:r>
        <w:rPr>
          <w:b/>
          <w:i w:val="0"/>
          <w:sz w:val="20"/>
        </w:rPr>
        <w:t xml:space="preserve">. Reported base qualities and observed control mismatch rates, related to </w:t>
      </w:r>
      <w:hyperlink w:anchor="fig_2" w:history="1">
        <w:r>
          <w:rPr>
            <w:b/>
            <w:i w:val="0"/>
            <w:color w:val="1F5FA8"/>
            <w:sz w:val="20"/>
          </w:rPr>
          <w:t>Figure 2</w:t>
        </w:r>
      </w:hyperlink>
      <w:r>
        <w:rPr>
          <w:b/>
          <w:i w:val="0"/>
          <w:sz w:val="20"/>
        </w:rPr>
        <w:t xml:space="preserve">. </w:t>
      </w:r>
      <w:r>
        <w:rPr>
          <w:b w:val="0"/>
          <w:i w:val="0"/>
          <w:sz w:val="20"/>
        </w:rPr>
        <w:t>A reported base quality is a prediction, and this is how far it holds at each of the four nanopore loci. Top,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i w:val="0"/>
          <w:sz w:val="20"/>
          <w:vertAlign w:val="superscript"/>
        </w:rPr>
        <w:t>−Q/10</w:t>
      </w:r>
      <w:r>
        <w:rPr>
          <w:b w:val="0"/>
          <w:i w:val="0"/>
          <w:sz w:val="20"/>
        </w:rPr>
        <w:t>. Bottom, the number of control bases in each bin. Observations thin out above Q40, so the uncertainty grows there. This is why each locus is calibrated against its own controls rather than against the reported qualities. Experimental details: the J</w:t>
      </w:r>
      <w:r>
        <w:rPr>
          <w:i w:val="0"/>
          <w:sz w:val="20"/>
          <w:vertAlign w:val="subscript"/>
        </w:rPr>
        <w:t>H</w:t>
      </w:r>
      <w:r>
        <w:rPr>
          <w:b w:val="0"/>
          <w:i w:val="0"/>
          <w:sz w:val="20"/>
        </w:rPr>
        <w:t>4 libraries were sequenced under order DHJGKB and the N114 V</w:t>
      </w:r>
      <w:r>
        <w:rPr>
          <w:i w:val="0"/>
          <w:sz w:val="20"/>
          <w:vertAlign w:val="subscript"/>
        </w:rPr>
        <w:t>H</w:t>
      </w:r>
      <w:r>
        <w:rPr>
          <w:b w:val="0"/>
          <w:i w:val="0"/>
          <w:sz w:val="20"/>
        </w:rPr>
        <w:t xml:space="preserve"> libraries under order 75K3B3; for Sμ and </w:t>
      </w:r>
      <w:r>
        <w:rPr>
          <w:i/>
          <w:sz w:val="20"/>
        </w:rPr>
        <w:t>Pim1</w:t>
      </w:r>
      <w:r>
        <w:rPr>
          <w:b w:val="0"/>
          <w:i w:val="0"/>
          <w:sz w:val="20"/>
        </w:rPr>
        <w:t xml:space="preserve"> (PRJNA1481264) the deposited records do not establish which libraries shared a flow cell.</w:t>
      </w:r>
    </w:p>
    <w:p>
      <w:pPr>
        <w:keepNext/>
        <w:pageBreakBefore/>
        <w:jc w:val="center"/>
      </w:pPr>
      <w:r>
        <w:drawing>
          <wp:inline xmlns:a="http://schemas.openxmlformats.org/drawingml/2006/main" xmlns:pic="http://schemas.openxmlformats.org/drawingml/2006/picture">
            <wp:extent cx="6264000" cy="5467512"/>
            <wp:docPr id="11" name="Picture 11"/>
            <wp:cNvGraphicFramePr>
              <a:graphicFrameLocks noChangeAspect="1"/>
            </wp:cNvGraphicFramePr>
            <a:graphic>
              <a:graphicData uri="http://schemas.openxmlformats.org/drawingml/2006/picture">
                <pic:pic>
                  <pic:nvPicPr>
                    <pic:cNvPr id="0" name="FigureS3_outputs_preview.png"/>
                    <pic:cNvPicPr/>
                  </pic:nvPicPr>
                  <pic:blipFill>
                    <a:blip r:embed="rId20"/>
                    <a:stretch>
                      <a:fillRect/>
                    </a:stretch>
                  </pic:blipFill>
                  <pic:spPr>
                    <a:xfrm>
                      <a:off x="0" y="0"/>
                      <a:ext cx="6264000" cy="5467512"/>
                    </a:xfrm>
                    <a:prstGeom prst="rect"/>
                  </pic:spPr>
                </pic:pic>
              </a:graphicData>
            </a:graphic>
          </wp:inline>
        </w:drawing>
      </w:r>
    </w:p>
    <w:p>
      <w:pPr>
        <w:spacing w:line="240" w:lineRule="auto" w:after="80"/>
        <w:jc w:val="both"/>
      </w:pPr>
      <w:bookmarkStart w:id="11" w:name="fig_S3"/>
      <w:bookmarkEnd w:id="11"/>
      <w:hyperlink w:anchor="fig_S3" w:history="1">
        <w:r>
          <w:rPr>
            <w:b/>
            <w:i w:val="0"/>
            <w:color w:val="1F5FA8"/>
            <w:sz w:val="20"/>
          </w:rPr>
          <w:t>Figure S3</w:t>
        </w:r>
      </w:hyperlink>
      <w:r>
        <w:rPr>
          <w:b/>
          <w:i w:val="0"/>
          <w:sz w:val="20"/>
        </w:rPr>
        <w:t xml:space="preserve">. What a project run writes, and how to read it, related to </w:t>
      </w:r>
      <w:hyperlink w:anchor="fig_1" w:history="1">
        <w:r>
          <w:rPr>
            <w:b/>
            <w:i w:val="0"/>
            <w:color w:val="1F5FA8"/>
            <w:sz w:val="20"/>
          </w:rPr>
          <w:t>Figure 1</w:t>
        </w:r>
      </w:hyperlink>
      <w:r>
        <w:rPr>
          <w:b/>
          <w:i w:val="0"/>
          <w:sz w:val="20"/>
        </w:rPr>
        <w:t xml:space="preserve">. </w:t>
      </w:r>
      <w:r>
        <w:rPr>
          <w:b w:val="0"/>
          <w:i w:val="0"/>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i w:val="0"/>
          <w:sz w:val="20"/>
          <w:vertAlign w:val="subscript"/>
        </w:rPr>
        <w:t>H</w:t>
      </w:r>
      <w:r>
        <w:rPr>
          <w:b w:val="0"/>
          <w:i w:val="0"/>
          <w:sz w:val="20"/>
        </w:rPr>
        <w:t xml:space="preserve">4 nanopore run (three Wt and three </w:t>
      </w:r>
      <w:r>
        <w:rPr>
          <w:i/>
          <w:sz w:val="20"/>
        </w:rPr>
        <w:t>Aicda</w:t>
      </w:r>
      <w:r>
        <w:rPr>
          <w:i w:val="0"/>
          <w:sz w:val="20"/>
          <w:vertAlign w:val="superscript"/>
        </w:rPr>
        <w:t>−/−</w:t>
      </w:r>
      <w:r>
        <w:rPr>
          <w:b w:val="0"/>
          <w:i w:val="0"/>
          <w:sz w:val="20"/>
        </w:rPr>
        <w:t xml:space="preserve"> mice, 500 reads each), with a note on how to read it and what to watch for; the further figures of each group are listed in the software documentation. </w:t>
      </w:r>
      <w:r>
        <w:rPr>
          <w:b w:val="0"/>
          <w:i w:val="0"/>
          <w:sz w:val="20"/>
        </w:rPr>
        <w:t>(</w:t>
      </w:r>
      <w:r>
        <w:rPr>
          <w:b/>
          <w:i w:val="0"/>
          <w:sz w:val="20"/>
        </w:rPr>
        <w:t>A</w:t>
      </w:r>
      <w:r>
        <w:rPr>
          <w:b w:val="0"/>
          <w:i w:val="0"/>
          <w:sz w:val="20"/>
        </w:rPr>
        <w:t>)</w:t>
      </w:r>
      <w:r>
        <w:rPr>
          <w:b w:val="0"/>
          <w:i w:val="0"/>
          <w:sz w:val="20"/>
        </w:rPr>
        <w:t xml:space="preserve"> Read accounting through each filter. </w:t>
      </w:r>
      <w:r>
        <w:rPr>
          <w:b w:val="0"/>
          <w:i w:val="0"/>
          <w:sz w:val="20"/>
        </w:rPr>
        <w:t>(</w:t>
      </w:r>
      <w:r>
        <w:rPr>
          <w:b/>
          <w:i w:val="0"/>
          <w:sz w:val="20"/>
        </w:rPr>
        <w:t>B</w:t>
      </w:r>
      <w:r>
        <w:rPr>
          <w:b w:val="0"/>
          <w:i w:val="0"/>
          <w:sz w:val="20"/>
        </w:rPr>
        <w:t>)</w:t>
      </w:r>
      <w:r>
        <w:rPr>
          <w:b w:val="0"/>
          <w:i w:val="0"/>
          <w:sz w:val="20"/>
        </w:rPr>
        <w:t xml:space="preserve"> The error rate the AID-null controls showed at each position; dashed line, median. </w:t>
      </w:r>
      <w:r>
        <w:rPr>
          <w:b w:val="0"/>
          <w:i w:val="0"/>
          <w:sz w:val="20"/>
        </w:rPr>
        <w:t>(</w:t>
      </w:r>
      <w:r>
        <w:rPr>
          <w:b/>
          <w:i w:val="0"/>
          <w:sz w:val="20"/>
        </w:rPr>
        <w:t>C</w:t>
      </w:r>
      <w:r>
        <w:rPr>
          <w:b w:val="0"/>
          <w:i w:val="0"/>
          <w:sz w:val="20"/>
        </w:rPr>
        <w:t>)</w:t>
      </w:r>
      <w:r>
        <w:rPr>
          <w:b w:val="0"/>
          <w:i w:val="0"/>
          <w:sz w:val="20"/>
        </w:rPr>
        <w:t xml:space="preserve"> Unique-variant density per animal; open circles, animals with no call, drawn at one event; bars, geometric means; p, Welch test on log density. </w:t>
      </w:r>
      <w:r>
        <w:rPr>
          <w:b w:val="0"/>
          <w:i w:val="0"/>
          <w:sz w:val="20"/>
        </w:rPr>
        <w:t>(</w:t>
      </w:r>
      <w:r>
        <w:rPr>
          <w:b/>
          <w:i w:val="0"/>
          <w:sz w:val="20"/>
        </w:rPr>
        <w:t>D</w:t>
      </w:r>
      <w:r>
        <w:rPr>
          <w:b w:val="0"/>
          <w:i w:val="0"/>
          <w:sz w:val="20"/>
        </w:rPr>
        <w:t>)</w:t>
      </w:r>
      <w:r>
        <w:rPr>
          <w:b w:val="0"/>
          <w:i w:val="0"/>
          <w:sz w:val="20"/>
        </w:rPr>
        <w:t xml:space="preserve"> The twelve substitution types; bars, Wt pooled; points, mice. </w:t>
      </w:r>
      <w:r>
        <w:rPr>
          <w:b w:val="0"/>
          <w:i w:val="0"/>
          <w:sz w:val="20"/>
        </w:rPr>
        <w:t>(</w:t>
      </w:r>
      <w:r>
        <w:rPr>
          <w:b/>
          <w:i w:val="0"/>
          <w:sz w:val="20"/>
        </w:rPr>
        <w:t>E</w:t>
      </w:r>
      <w:r>
        <w:rPr>
          <w:b w:val="0"/>
          <w:i w:val="0"/>
          <w:sz w:val="20"/>
        </w:rPr>
        <w:t>)</w:t>
      </w:r>
      <w:r>
        <w:rPr>
          <w:b w:val="0"/>
          <w:i w:val="0"/>
          <w:sz w:val="20"/>
        </w:rPr>
        <w:t xml:space="preserve"> Share of reads mutated at each position, Wt above the line and </w:t>
      </w:r>
      <w:r>
        <w:rPr>
          <w:i/>
          <w:sz w:val="20"/>
        </w:rPr>
        <w:t>Aicda</w:t>
      </w:r>
      <w:r>
        <w:rPr>
          <w:i w:val="0"/>
          <w:sz w:val="20"/>
          <w:vertAlign w:val="superscript"/>
        </w:rPr>
        <w:t>−/−</w:t>
      </w:r>
      <w:r>
        <w:rPr>
          <w:b w:val="0"/>
          <w:i w:val="0"/>
          <w:sz w:val="20"/>
        </w:rPr>
        <w:t xml:space="preserve"> below; ticks, WRC/GYW hotspots. </w:t>
      </w:r>
      <w:r>
        <w:rPr>
          <w:b w:val="0"/>
          <w:i w:val="0"/>
          <w:sz w:val="20"/>
        </w:rPr>
        <w:t>(</w:t>
      </w:r>
      <w:r>
        <w:rPr>
          <w:b/>
          <w:i w:val="0"/>
          <w:sz w:val="20"/>
        </w:rPr>
        <w:t>F</w:t>
      </w:r>
      <w:r>
        <w:rPr>
          <w:b w:val="0"/>
          <w:i w:val="0"/>
          <w:sz w:val="20"/>
        </w:rPr>
        <w:t>)</w:t>
      </w:r>
      <w:r>
        <w:rPr>
          <w:b w:val="0"/>
          <w:i w:val="0"/>
          <w:sz w:val="20"/>
        </w:rPr>
        <w:t xml:space="preserve"> Clones defined by the V</w:t>
      </w:r>
      <w:r>
        <w:rPr>
          <w:b w:val="0"/>
          <w:i w:val="0"/>
          <w:sz w:val="20"/>
        </w:rPr>
        <w:t>(</w:t>
      </w:r>
      <w:r>
        <w:rPr>
          <w:b/>
          <w:i w:val="0"/>
          <w:sz w:val="20"/>
        </w:rPr>
        <w:t>D</w:t>
      </w:r>
      <w:r>
        <w:rPr>
          <w:b w:val="0"/>
          <w:i w:val="0"/>
          <w:sz w:val="20"/>
        </w:rPr>
        <w:t>)</w:t>
      </w:r>
      <w:r>
        <w:rPr>
          <w:b w:val="0"/>
          <w:i w:val="0"/>
          <w:sz w:val="20"/>
        </w:rPr>
        <w:t xml:space="preserve">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b w:val="0"/>
          <w:i w:val="0"/>
          <w:sz w:val="20"/>
        </w:rPr>
        <w:t>.</w:t>
      </w:r>
    </w:p>
    <w:p>
      <w:pPr>
        <w:keepNext/>
        <w:pageBreakBefore/>
        <w:jc w:val="center"/>
      </w:pPr>
      <w:r>
        <w:drawing>
          <wp:inline xmlns:a="http://schemas.openxmlformats.org/drawingml/2006/main" xmlns:pic="http://schemas.openxmlformats.org/drawingml/2006/picture">
            <wp:extent cx="6264000" cy="2231264"/>
            <wp:docPr id="12" name="Picture 12"/>
            <wp:cNvGraphicFramePr>
              <a:graphicFrameLocks noChangeAspect="1"/>
            </wp:cNvGraphicFramePr>
            <a:graphic>
              <a:graphicData uri="http://schemas.openxmlformats.org/drawingml/2006/picture">
                <pic:pic>
                  <pic:nvPicPr>
                    <pic:cNvPr id="0" name="FigureS4_fdr_calibration.png"/>
                    <pic:cNvPicPr/>
                  </pic:nvPicPr>
                  <pic:blipFill>
                    <a:blip r:embed="rId21"/>
                    <a:stretch>
                      <a:fillRect/>
                    </a:stretch>
                  </pic:blipFill>
                  <pic:spPr>
                    <a:xfrm>
                      <a:off x="0" y="0"/>
                      <a:ext cx="6264000" cy="2231264"/>
                    </a:xfrm>
                    <a:prstGeom prst="rect"/>
                  </pic:spPr>
                </pic:pic>
              </a:graphicData>
            </a:graphic>
          </wp:inline>
        </w:drawing>
      </w:r>
    </w:p>
    <w:p>
      <w:pPr>
        <w:spacing w:line="240" w:lineRule="auto" w:after="80"/>
        <w:jc w:val="both"/>
      </w:pPr>
      <w:bookmarkStart w:id="12" w:name="fig_S4"/>
      <w:bookmarkEnd w:id="12"/>
      <w:hyperlink w:anchor="fig_S4" w:history="1">
        <w:r>
          <w:rPr>
            <w:b/>
            <w:i w:val="0"/>
            <w:color w:val="1F5FA8"/>
            <w:sz w:val="20"/>
          </w:rPr>
          <w:t>Figure S4</w:t>
        </w:r>
      </w:hyperlink>
      <w:r>
        <w:rPr>
          <w:b/>
          <w:i w:val="0"/>
          <w:sz w:val="20"/>
        </w:rPr>
        <w:t xml:space="preserve">. The control-based false-discovery threshold against planted truth, related to </w:t>
      </w:r>
      <w:hyperlink w:anchor="fig_3" w:history="1">
        <w:r>
          <w:rPr>
            <w:b/>
            <w:i w:val="0"/>
            <w:color w:val="1F5FA8"/>
            <w:sz w:val="20"/>
          </w:rPr>
          <w:t>Figure 3</w:t>
        </w:r>
      </w:hyperlink>
      <w:r>
        <w:rPr>
          <w:b/>
          <w:i w:val="0"/>
          <w:sz w:val="20"/>
        </w:rPr>
        <w:t xml:space="preserve">. </w:t>
      </w:r>
      <w:r>
        <w:rPr>
          <w:b w:val="0"/>
          <w:i w:val="0"/>
          <w:sz w:val="20"/>
        </w:rPr>
        <w:t xml:space="preserve">The spike-in libraries of </w:t>
      </w:r>
      <w:hyperlink w:anchor="fig_3" w:history="1">
        <w:r>
          <w:rPr>
            <w:b/>
            <w:i w:val="0"/>
            <w:color w:val="1F5FA8"/>
            <w:sz w:val="20"/>
          </w:rPr>
          <w:t>Figure 3</w:t>
        </w:r>
      </w:hyperlink>
      <w:r>
        <w:rPr>
          <w:b w:val="0"/>
          <w:i w:val="0"/>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val="0"/>
          <w:i w:val="0"/>
          <w:sz w:val="20"/>
        </w:rPr>
        <w:t>(</w:t>
      </w:r>
      <w:r>
        <w:rPr>
          <w:b/>
          <w:i w:val="0"/>
          <w:sz w:val="20"/>
        </w:rPr>
        <w:t>A</w:t>
      </w:r>
      <w:r>
        <w:rPr>
          <w:b w:val="0"/>
          <w:i w:val="0"/>
          <w:sz w:val="20"/>
        </w:rPr>
        <w:t>)</w:t>
      </w:r>
      <w:r>
        <w:rPr>
          <w:b w:val="0"/>
          <w:i w:val="0"/>
          <w:sz w:val="20"/>
        </w:rPr>
        <w:t xml:space="preserve">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val="0"/>
          <w:i w:val="0"/>
          <w:sz w:val="20"/>
        </w:rPr>
        <w:t>(</w:t>
      </w:r>
      <w:r>
        <w:rPr>
          <w:b/>
          <w:i w:val="0"/>
          <w:sz w:val="20"/>
        </w:rPr>
        <w:t>B</w:t>
      </w:r>
      <w:r>
        <w:rPr>
          <w:b w:val="0"/>
          <w:i w:val="0"/>
          <w:sz w:val="20"/>
        </w:rPr>
        <w:t>)</w:t>
      </w:r>
      <w:r>
        <w:rPr>
          <w:b w:val="0"/>
          <w:i w:val="0"/>
          <w:sz w:val="20"/>
        </w:rPr>
        <w:t xml:space="preserve"> False calls per library. </w:t>
      </w:r>
      <w:r>
        <w:rPr>
          <w:b w:val="0"/>
          <w:i w:val="0"/>
          <w:sz w:val="20"/>
        </w:rPr>
        <w:t>(</w:t>
      </w:r>
      <w:r>
        <w:rPr>
          <w:b/>
          <w:i w:val="0"/>
          <w:sz w:val="20"/>
        </w:rPr>
        <w:t>C</w:t>
      </w:r>
      <w:r>
        <w:rPr>
          <w:b w:val="0"/>
          <w:i w:val="0"/>
          <w:sz w:val="20"/>
        </w:rPr>
        <w:t>)</w:t>
      </w:r>
      <w:r>
        <w:rPr>
          <w:b w:val="0"/>
          <w:i w:val="0"/>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b w:val="0"/>
          <w:i w:val="0"/>
          <w:sz w:val="20"/>
        </w:rPr>
        <w:t xml:space="preserve"> (</w:t>
      </w:r>
      <w:r>
        <w:rPr>
          <w:rFonts w:ascii="Courier New" w:hAnsi="Courier New"/>
          <w:sz w:val="18"/>
        </w:rPr>
        <w:t>--tag _fdrcal</w:t>
      </w:r>
      <w:r>
        <w:rPr>
          <w:b w:val="0"/>
          <w:i w:val="0"/>
          <w:sz w:val="20"/>
        </w:rPr>
        <w:t xml:space="preserve">) and </w:t>
      </w:r>
      <w:r>
        <w:rPr>
          <w:rFonts w:ascii="Courier New" w:hAnsi="Courier New"/>
          <w:sz w:val="18"/>
        </w:rPr>
        <w:t>crm/figs/figS4_fdr_calibration.py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3" name="Picture 13"/>
            <wp:cNvGraphicFramePr>
              <a:graphicFrameLocks noChangeAspect="1"/>
            </wp:cNvGraphicFramePr>
            <a:graphic>
              <a:graphicData uri="http://schemas.openxmlformats.org/drawingml/2006/picture">
                <pic:pic>
                  <pic:nvPicPr>
                    <pic:cNvPr id="0" name="FigureS5_controls.png"/>
                    <pic:cNvPicPr/>
                  </pic:nvPicPr>
                  <pic:blipFill>
                    <a:blip r:embed="rId22"/>
                    <a:stretch>
                      <a:fillRect/>
                    </a:stretch>
                  </pic:blipFill>
                  <pic:spPr>
                    <a:xfrm>
                      <a:off x="0" y="0"/>
                      <a:ext cx="6264000" cy="2302896"/>
                    </a:xfrm>
                    <a:prstGeom prst="rect"/>
                  </pic:spPr>
                </pic:pic>
              </a:graphicData>
            </a:graphic>
          </wp:inline>
        </w:drawing>
      </w:r>
    </w:p>
    <w:p>
      <w:pPr>
        <w:spacing w:line="240" w:lineRule="auto" w:after="80"/>
        <w:jc w:val="both"/>
      </w:pPr>
      <w:bookmarkStart w:id="13" w:name="fig_S5"/>
      <w:bookmarkEnd w:id="13"/>
      <w:hyperlink w:anchor="fig_S5" w:history="1">
        <w:r>
          <w:rPr>
            <w:b/>
            <w:i w:val="0"/>
            <w:color w:val="1F5FA8"/>
            <w:sz w:val="20"/>
          </w:rPr>
          <w:t>Figure S5</w:t>
        </w:r>
      </w:hyperlink>
      <w:r>
        <w:rPr>
          <w:b/>
          <w:i w:val="0"/>
          <w:sz w:val="20"/>
        </w:rPr>
        <w:t xml:space="preserve">. How many AID-null controls, and which, related to </w:t>
      </w:r>
      <w:hyperlink w:anchor="fig_3" w:history="1">
        <w:r>
          <w:rPr>
            <w:b/>
            <w:i w:val="0"/>
            <w:color w:val="1F5FA8"/>
            <w:sz w:val="20"/>
          </w:rPr>
          <w:t>Figure 3</w:t>
        </w:r>
      </w:hyperlink>
      <w:r>
        <w:rPr>
          <w:b/>
          <w:i w:val="0"/>
          <w:sz w:val="20"/>
        </w:rPr>
        <w:t xml:space="preserve">. </w:t>
      </w:r>
      <w:r>
        <w:rPr>
          <w:b w:val="0"/>
          <w:i w:val="0"/>
          <w:sz w:val="20"/>
        </w:rPr>
        <w:t xml:space="preserve">Everything the read-library route does rests on the controls, so their number and their provenance were varied through the whole </w:t>
      </w:r>
      <w:r>
        <w:rPr>
          <w:rFonts w:ascii="Courier New" w:hAnsi="Courier New"/>
          <w:sz w:val="18"/>
        </w:rPr>
        <w:t>run_project</w:t>
      </w:r>
      <w:r>
        <w:rPr>
          <w:b w:val="0"/>
          <w:i w:val="0"/>
          <w:sz w:val="20"/>
        </w:rPr>
        <w:t xml:space="preserve"> procedure. J</w:t>
      </w:r>
      <w:r>
        <w:rPr>
          <w:i w:val="0"/>
          <w:sz w:val="20"/>
          <w:vertAlign w:val="subscript"/>
        </w:rPr>
        <w:t>H</w:t>
      </w:r>
      <w:r>
        <w:rPr>
          <w:b w:val="0"/>
          <w:i w:val="0"/>
          <w:sz w:val="20"/>
        </w:rPr>
        <w:t xml:space="preserve">4: the case is KO1 carrying planted polyclonal lineages, or none; the controls are halves of KO2 and KO3, so the third and fourth are technical partitions of the same two animals rather than new mice; 10 repeats per setting; points, repeats; bars, means. </w:t>
      </w:r>
      <w:r>
        <w:rPr>
          <w:b w:val="0"/>
          <w:i w:val="0"/>
          <w:sz w:val="20"/>
        </w:rPr>
        <w:t>(</w:t>
      </w:r>
      <w:r>
        <w:rPr>
          <w:b/>
          <w:i w:val="0"/>
          <w:sz w:val="20"/>
        </w:rPr>
        <w:t>A</w:t>
      </w:r>
      <w:r>
        <w:rPr>
          <w:b w:val="0"/>
          <w:i w:val="0"/>
          <w:sz w:val="20"/>
        </w:rPr>
        <w:t>)</w:t>
      </w:r>
      <w:r>
        <w:rPr>
          <w:b w:val="0"/>
          <w:i w:val="0"/>
          <w:sz w:val="20"/>
        </w:rPr>
        <w:t xml:space="preserve">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val="0"/>
          <w:i w:val="0"/>
          <w:sz w:val="20"/>
        </w:rPr>
        <w:t>(</w:t>
      </w:r>
      <w:r>
        <w:rPr>
          <w:b/>
          <w:i w:val="0"/>
          <w:sz w:val="20"/>
        </w:rPr>
        <w:t>B</w:t>
      </w:r>
      <w:r>
        <w:rPr>
          <w:b w:val="0"/>
          <w:i w:val="0"/>
          <w:sz w:val="20"/>
        </w:rPr>
        <w:t>)</w:t>
      </w:r>
      <w:r>
        <w:rPr>
          <w:b w:val="0"/>
          <w:i w:val="0"/>
          <w:sz w:val="20"/>
        </w:rPr>
        <w:t xml:space="preserve"> False calls per library in lineage-bearing (filled) and all-null (open) libraries; above, the pooled false-discovery proportion of the lineage-bearing libraries. No all-null library produced a call at any number of controls. </w:t>
      </w:r>
      <w:r>
        <w:rPr>
          <w:b w:val="0"/>
          <w:i w:val="0"/>
          <w:sz w:val="20"/>
        </w:rPr>
        <w:t>(</w:t>
      </w:r>
      <w:r>
        <w:rPr>
          <w:b/>
          <w:i w:val="0"/>
          <w:sz w:val="20"/>
        </w:rPr>
        <w:t>C</w:t>
      </w:r>
      <w:r>
        <w:rPr>
          <w:b w:val="0"/>
          <w:i w:val="0"/>
          <w:sz w:val="20"/>
        </w:rPr>
        <w:t>)</w:t>
      </w:r>
      <w:r>
        <w:rPr>
          <w:b w:val="0"/>
          <w:i w:val="0"/>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b w:val="0"/>
          <w:i w:val="0"/>
          <w:sz w:val="20"/>
        </w:rPr>
        <w:t xml:space="preserve"> and </w:t>
      </w:r>
      <w:r>
        <w:rPr>
          <w:rFonts w:ascii="Courier New" w:hAnsi="Courier New"/>
          <w:sz w:val="18"/>
        </w:rPr>
        <w:t>crm/figs/figS5_controls.py</w:t>
      </w:r>
      <w:r>
        <w:rPr>
          <w:b w:val="0"/>
          <w:i w:val="0"/>
          <w:sz w:val="20"/>
        </w:rPr>
        <w:t>.</w:t>
      </w:r>
    </w:p>
    <w:p>
      <w:pPr>
        <w:keepNext/>
        <w:pageBreakBefore/>
        <w:jc w:val="center"/>
      </w:pPr>
      <w:r>
        <w:drawing>
          <wp:inline xmlns:a="http://schemas.openxmlformats.org/drawingml/2006/main" xmlns:pic="http://schemas.openxmlformats.org/drawingml/2006/picture">
            <wp:extent cx="6264000" cy="3887947"/>
            <wp:docPr id="14" name="Picture 14"/>
            <wp:cNvGraphicFramePr>
              <a:graphicFrameLocks noChangeAspect="1"/>
            </wp:cNvGraphicFramePr>
            <a:graphic>
              <a:graphicData uri="http://schemas.openxmlformats.org/drawingml/2006/picture">
                <pic:pic>
                  <pic:nvPicPr>
                    <pic:cNvPr id="0" name="FigureS6_titration.png"/>
                    <pic:cNvPicPr/>
                  </pic:nvPicPr>
                  <pic:blipFill>
                    <a:blip r:embed="rId23"/>
                    <a:stretch>
                      <a:fillRect/>
                    </a:stretch>
                  </pic:blipFill>
                  <pic:spPr>
                    <a:xfrm>
                      <a:off x="0" y="0"/>
                      <a:ext cx="6264000" cy="3887947"/>
                    </a:xfrm>
                    <a:prstGeom prst="rect"/>
                  </pic:spPr>
                </pic:pic>
              </a:graphicData>
            </a:graphic>
          </wp:inline>
        </w:drawing>
      </w:r>
    </w:p>
    <w:p>
      <w:pPr>
        <w:spacing w:line="240" w:lineRule="auto" w:after="80"/>
        <w:jc w:val="both"/>
      </w:pPr>
      <w:bookmarkStart w:id="14" w:name="fig_S6"/>
      <w:bookmarkEnd w:id="14"/>
      <w:hyperlink w:anchor="fig_S6" w:history="1">
        <w:r>
          <w:rPr>
            <w:b/>
            <w:i w:val="0"/>
            <w:color w:val="1F5FA8"/>
            <w:sz w:val="20"/>
          </w:rPr>
          <w:t>Figure S6</w:t>
        </w:r>
      </w:hyperlink>
      <w:r>
        <w:rPr>
          <w:b/>
          <w:i w:val="0"/>
          <w:sz w:val="20"/>
        </w:rPr>
        <w:t xml:space="preserve">. Real hypermutation diluted into AID-null reads, related to </w:t>
      </w:r>
      <w:hyperlink w:anchor="fig_3" w:history="1">
        <w:r>
          <w:rPr>
            <w:b/>
            <w:i w:val="0"/>
            <w:color w:val="1F5FA8"/>
            <w:sz w:val="20"/>
          </w:rPr>
          <w:t>Figure 3</w:t>
        </w:r>
      </w:hyperlink>
      <w:r>
        <w:rPr>
          <w:b/>
          <w:i w:val="0"/>
          <w:sz w:val="20"/>
        </w:rPr>
        <w:t xml:space="preserve">. </w:t>
      </w:r>
      <w:r>
        <w:rPr>
          <w:b w:val="0"/>
          <w:i w:val="0"/>
          <w:sz w:val="20"/>
        </w:rPr>
        <w:t>Each AID-active library (donor) was mixed with one AID-null library (diluent) at 1–100% donor reads in 500 usable reads, 3 draws per fraction, and called against the other two AID-null libraries (J</w:t>
      </w:r>
      <w:r>
        <w:rPr>
          <w:i w:val="0"/>
          <w:sz w:val="20"/>
          <w:vertAlign w:val="subscript"/>
        </w:rPr>
        <w:t>H</w:t>
      </w:r>
      <w:r>
        <w:rPr>
          <w:b w:val="0"/>
          <w:i w:val="0"/>
          <w:sz w:val="20"/>
        </w:rPr>
        <w:t>4: donors Wt2–Wt4, diluent KO1, controls KO2 and KO3; N114 V</w:t>
      </w:r>
      <w:r>
        <w:rPr>
          <w:i w:val="0"/>
          <w:sz w:val="20"/>
          <w:vertAlign w:val="subscript"/>
        </w:rPr>
        <w:t>H</w:t>
      </w:r>
      <w:r>
        <w:rPr>
          <w:b w:val="0"/>
          <w:i w:val="0"/>
          <w:sz w:val="20"/>
        </w:rPr>
        <w:t xml:space="preserve">: donors C1, D3 and D5, diluent D1, controls C3 and C4). Unlike the planted mutations of </w:t>
      </w:r>
      <w:hyperlink w:anchor="fig_3" w:history="1">
        <w:r>
          <w:rPr>
            <w:b/>
            <w:i w:val="0"/>
            <w:color w:val="1F5FA8"/>
            <w:sz w:val="20"/>
          </w:rPr>
          <w:t>Figure 3</w:t>
        </w:r>
      </w:hyperlink>
      <w:r>
        <w:rPr>
          <w:b w:val="0"/>
          <w:i w:val="0"/>
          <w:sz w:val="20"/>
        </w:rPr>
        <w:t xml:space="preserve">,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val="0"/>
          <w:i w:val="0"/>
          <w:sz w:val="20"/>
        </w:rPr>
        <w:t>(</w:t>
      </w:r>
      <w:r>
        <w:rPr>
          <w:b/>
          <w:i w:val="0"/>
          <w:sz w:val="20"/>
        </w:rPr>
        <w:t>A, B</w:t>
      </w:r>
      <w:r>
        <w:rPr>
          <w:b w:val="0"/>
          <w:i w:val="0"/>
          <w:sz w:val="20"/>
        </w:rPr>
        <w:t>)</w:t>
      </w:r>
      <w:r>
        <w:rPr>
          <w:b w:val="0"/>
          <w:i w:val="0"/>
          <w:sz w:val="20"/>
        </w:rPr>
        <w:t xml:space="preserve"> Observed mutation frequency against the frequency expected from donor and diluent alone; dashed line, equality, spanning the called points it refers to. Frequency is read-weighted, so its expectation is linear in the donor fraction. On N114 V</w:t>
      </w:r>
      <w:r>
        <w:rPr>
          <w:i w:val="0"/>
          <w:sz w:val="20"/>
          <w:vertAlign w:val="subscript"/>
        </w:rPr>
        <w:t>H</w:t>
      </w:r>
      <w:r>
        <w:rPr>
          <w:b w:val="0"/>
          <w:i w:val="0"/>
          <w:sz w:val="20"/>
        </w:rPr>
        <w:t xml:space="preserve"> frequency was 0.87–0.97 of the expected value at 25–50% donor reads. </w:t>
      </w:r>
      <w:r>
        <w:rPr>
          <w:b w:val="0"/>
          <w:i w:val="0"/>
          <w:sz w:val="20"/>
        </w:rPr>
        <w:t>(</w:t>
      </w:r>
      <w:r>
        <w:rPr>
          <w:b/>
          <w:i w:val="0"/>
          <w:sz w:val="20"/>
        </w:rPr>
        <w:t>C, D</w:t>
      </w:r>
      <w:r>
        <w:rPr>
          <w:b w:val="0"/>
          <w:i w:val="0"/>
          <w:sz w:val="20"/>
        </w:rPr>
        <w:t>)</w:t>
      </w:r>
      <w:r>
        <w:rPr>
          <w:b w:val="0"/>
          <w:i w:val="0"/>
          <w:sz w:val="20"/>
        </w:rPr>
        <w:t xml:space="preserve"> Unique mutations called against the share of donor reads. Calling is a step rather than a fade: on J</w:t>
      </w:r>
      <w:r>
        <w:rPr>
          <w:i w:val="0"/>
          <w:sz w:val="20"/>
          <w:vertAlign w:val="subscript"/>
        </w:rPr>
        <w:t>H</w:t>
      </w:r>
      <w:r>
        <w:rPr>
          <w:b w:val="0"/>
          <w:i w:val="0"/>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i w:val="0"/>
          <w:sz w:val="20"/>
          <w:vertAlign w:val="subscript"/>
        </w:rPr>
        <w:t>H</w:t>
      </w:r>
      <w:r>
        <w:rPr>
          <w:b w:val="0"/>
          <w:i w:val="0"/>
          <w:sz w:val="20"/>
        </w:rPr>
        <w:t xml:space="preserve"> ran with </w:t>
      </w:r>
      <w:r>
        <w:rPr>
          <w:rFonts w:ascii="Courier New" w:hAnsi="Courier New"/>
          <w:sz w:val="18"/>
        </w:rPr>
        <w:t>ancestral_reference</w:t>
      </w:r>
      <w:r>
        <w:rPr>
          <w:b w:val="0"/>
          <w:i w:val="0"/>
          <w:sz w:val="20"/>
        </w:rPr>
        <w:t xml:space="preserve"> (STAR Methods); under the default ≥50% rule a mutation fixed within a subclone is removed at full strength but counted once diluted, and D3 then read 1.84 per 10</w:t>
      </w:r>
      <w:r>
        <w:rPr>
          <w:i w:val="0"/>
          <w:sz w:val="20"/>
          <w:vertAlign w:val="superscript"/>
        </w:rPr>
        <w:t>3</w:t>
      </w:r>
      <w:r>
        <w:rPr>
          <w:b w:val="0"/>
          <w:i w:val="0"/>
          <w:sz w:val="20"/>
        </w:rPr>
        <w:t xml:space="preserve"> bp at 50% donor reads against 0.63 at 100%. Analysis in </w:t>
      </w:r>
      <w:r>
        <w:rPr>
          <w:rFonts w:ascii="Courier New" w:hAnsi="Courier New"/>
          <w:sz w:val="18"/>
        </w:rPr>
        <w:t>crm/titration.py</w:t>
      </w:r>
      <w:r>
        <w:rPr>
          <w:b w:val="0"/>
          <w:i w:val="0"/>
          <w:sz w:val="20"/>
        </w:rPr>
        <w:t xml:space="preserve"> and </w:t>
      </w:r>
      <w:r>
        <w:rPr>
          <w:rFonts w:ascii="Courier New" w:hAnsi="Courier New"/>
          <w:sz w:val="18"/>
        </w:rPr>
        <w:t>crm/figs/figS6_titration.py</w:t>
      </w:r>
      <w:r>
        <w:rPr>
          <w:b w:val="0"/>
          <w:i w:val="0"/>
          <w:sz w:val="20"/>
        </w:rPr>
        <w:t>.</w:t>
      </w:r>
    </w:p>
    <w:p>
      <w:pPr>
        <w:keepNext/>
        <w:pageBreakBefore/>
        <w:jc w:val="center"/>
      </w:pPr>
      <w:r>
        <w:drawing>
          <wp:inline xmlns:a="http://schemas.openxmlformats.org/drawingml/2006/main" xmlns:pic="http://schemas.openxmlformats.org/drawingml/2006/picture">
            <wp:extent cx="6264000" cy="2302896"/>
            <wp:docPr id="15" name="Picture 15"/>
            <wp:cNvGraphicFramePr>
              <a:graphicFrameLocks noChangeAspect="1"/>
            </wp:cNvGraphicFramePr>
            <a:graphic>
              <a:graphicData uri="http://schemas.openxmlformats.org/drawingml/2006/picture">
                <pic:pic>
                  <pic:nvPicPr>
                    <pic:cNvPr id="0" name="FigureS7_indels.png"/>
                    <pic:cNvPicPr/>
                  </pic:nvPicPr>
                  <pic:blipFill>
                    <a:blip r:embed="rId24"/>
                    <a:stretch>
                      <a:fillRect/>
                    </a:stretch>
                  </pic:blipFill>
                  <pic:spPr>
                    <a:xfrm>
                      <a:off x="0" y="0"/>
                      <a:ext cx="6264000" cy="2302896"/>
                    </a:xfrm>
                    <a:prstGeom prst="rect"/>
                  </pic:spPr>
                </pic:pic>
              </a:graphicData>
            </a:graphic>
          </wp:inline>
        </w:drawing>
      </w:r>
    </w:p>
    <w:p>
      <w:pPr>
        <w:spacing w:line="240" w:lineRule="auto" w:after="80"/>
        <w:jc w:val="both"/>
      </w:pPr>
      <w:bookmarkStart w:id="15" w:name="fig_S7"/>
      <w:bookmarkEnd w:id="15"/>
      <w:hyperlink w:anchor="fig_S7" w:history="1">
        <w:r>
          <w:rPr>
            <w:b/>
            <w:i w:val="0"/>
            <w:color w:val="1F5FA8"/>
            <w:sz w:val="20"/>
          </w:rPr>
          <w:t>Figure S7</w:t>
        </w:r>
      </w:hyperlink>
      <w:r>
        <w:rPr>
          <w:b/>
          <w:i w:val="0"/>
          <w:sz w:val="20"/>
        </w:rPr>
        <w:t xml:space="preserve">. Indels planted into held-out AID-null libraries, related to </w:t>
      </w:r>
      <w:hyperlink w:anchor="fig_3" w:history="1">
        <w:r>
          <w:rPr>
            <w:b/>
            <w:i w:val="0"/>
            <w:color w:val="1F5FA8"/>
            <w:sz w:val="20"/>
          </w:rPr>
          <w:t>Figure 3</w:t>
        </w:r>
      </w:hyperlink>
      <w:r>
        <w:rPr>
          <w:b/>
          <w:i w:val="0"/>
          <w:sz w:val="20"/>
        </w:rPr>
        <w:t xml:space="preserve">. </w:t>
      </w:r>
      <w:r>
        <w:rPr>
          <w:b w:val="0"/>
          <w:i w:val="0"/>
          <w:sz w:val="20"/>
        </w:rPr>
        <w:t xml:space="preserve">The indel counterpart of </w:t>
      </w:r>
      <w:hyperlink w:anchor="fig_3" w:history="1">
        <w:r>
          <w:rPr>
            <w:b/>
            <w:i w:val="0"/>
            <w:color w:val="1F5FA8"/>
            <w:sz w:val="20"/>
          </w:rPr>
          <w:t>Figures 3A</w:t>
        </w:r>
      </w:hyperlink>
      <w:r>
        <w:rPr>
          <w:b/>
          <w:i w:val="0"/>
          <w:sz w:val="20"/>
        </w:rPr>
        <w:t xml:space="preserve"> and </w:t>
      </w:r>
      <w:hyperlink w:anchor="fig_3" w:history="1">
        <w:r>
          <w:rPr>
            <w:b/>
            <w:i w:val="0"/>
            <w:color w:val="1F5FA8"/>
            <w:sz w:val="20"/>
          </w:rPr>
          <w:t>3B</w:t>
        </w:r>
      </w:hyperlink>
      <w:r>
        <w:rPr>
          <w:b w:val="0"/>
          <w:i w:val="0"/>
          <w:sz w:val="20"/>
        </w:rPr>
        <w:t xml:space="preserve">. Ten insertions or deletions of 1–40 bp were planted into the reads of a held-out AID-null library, eight draws per control, 240 planted indels per amplicon, each carried by a set number of reads; error models were fitted to the other controls (STAR Methods). </w:t>
      </w:r>
      <w:r>
        <w:rPr>
          <w:b w:val="0"/>
          <w:i w:val="0"/>
          <w:sz w:val="20"/>
        </w:rPr>
        <w:t>(</w:t>
      </w:r>
      <w:r>
        <w:rPr>
          <w:b/>
          <w:i w:val="0"/>
          <w:sz w:val="20"/>
        </w:rPr>
        <w:t>A</w:t>
      </w:r>
      <w:r>
        <w:rPr>
          <w:b w:val="0"/>
          <w:i w:val="0"/>
          <w:sz w:val="20"/>
        </w:rPr>
        <w:t>)</w:t>
      </w:r>
      <w:r>
        <w:rPr>
          <w:b w:val="0"/>
          <w:i w:val="0"/>
          <w:sz w:val="20"/>
        </w:rPr>
        <w:t xml:space="preserve"> Recall by the number of reads carrying the indel. Small faint markers, the three held-out controls in their own right. Below three reads the calling rule (</w:t>
      </w:r>
      <w:r>
        <w:rPr>
          <w:rFonts w:ascii="Courier New" w:hAnsi="Courier New"/>
          <w:sz w:val="18"/>
        </w:rPr>
        <w:t>indel_min_reads</w:t>
      </w:r>
      <w:r>
        <w:rPr>
          <w:b w:val="0"/>
          <w:i w:val="0"/>
          <w:sz w:val="20"/>
        </w:rPr>
        <w:t xml:space="preserve">) calls no indel, so that region is shaded as outside the rule and no recall is drawn there: it is not a measured failure. Legend, recall of the indels carried by three or more reads; above the panel, the false calls each cost. </w:t>
      </w:r>
      <w:r>
        <w:rPr>
          <w:b w:val="0"/>
          <w:i w:val="0"/>
          <w:sz w:val="20"/>
        </w:rPr>
        <w:t>(</w:t>
      </w:r>
      <w:r>
        <w:rPr>
          <w:b/>
          <w:i w:val="0"/>
          <w:sz w:val="20"/>
        </w:rPr>
        <w:t>B</w:t>
      </w:r>
      <w:r>
        <w:rPr>
          <w:b w:val="0"/>
          <w:i w:val="0"/>
          <w:sz w:val="20"/>
        </w:rPr>
        <w:t>)</w:t>
      </w:r>
      <w:r>
        <w:rPr>
          <w:b w:val="0"/>
          <w:i w:val="0"/>
          <w:sz w:val="20"/>
        </w:rPr>
        <w:t xml:space="preserve">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i w:val="0"/>
          <w:sz w:val="20"/>
          <w:vertAlign w:val="subscript"/>
        </w:rPr>
        <w:t>H</w:t>
      </w:r>
      <w:r>
        <w:rPr>
          <w:b w:val="0"/>
          <w:i w:val="0"/>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b w:val="0"/>
          <w:i w:val="0"/>
          <w:sz w:val="20"/>
        </w:rPr>
        <w:t xml:space="preserve"> and </w:t>
      </w:r>
      <w:r>
        <w:rPr>
          <w:rFonts w:ascii="Courier New" w:hAnsi="Courier New"/>
          <w:sz w:val="18"/>
        </w:rPr>
        <w:t>crm/figs/figS7_indels.py</w:t>
      </w:r>
      <w:r>
        <w:rPr>
          <w:b w:val="0"/>
          <w:i w:val="0"/>
          <w:sz w:val="20"/>
        </w:rPr>
        <w:t>.</w:t>
      </w:r>
    </w:p>
    <w:p>
      <w:pPr>
        <w:keepNext/>
        <w:pageBreakBefore/>
        <w:jc w:val="center"/>
      </w:pPr>
      <w:r>
        <w:drawing>
          <wp:inline xmlns:a="http://schemas.openxmlformats.org/drawingml/2006/main" xmlns:pic="http://schemas.openxmlformats.org/drawingml/2006/picture">
            <wp:extent cx="6264000" cy="5399842"/>
            <wp:docPr id="16" name="Picture 16"/>
            <wp:cNvGraphicFramePr>
              <a:graphicFrameLocks noChangeAspect="1"/>
            </wp:cNvGraphicFramePr>
            <a:graphic>
              <a:graphicData uri="http://schemas.openxmlformats.org/drawingml/2006/picture">
                <pic:pic>
                  <pic:nvPicPr>
                    <pic:cNvPr id="0" name="FigureS8_downstream.png"/>
                    <pic:cNvPicPr/>
                  </pic:nvPicPr>
                  <pic:blipFill>
                    <a:blip r:embed="rId25"/>
                    <a:stretch>
                      <a:fillRect/>
                    </a:stretch>
                  </pic:blipFill>
                  <pic:spPr>
                    <a:xfrm>
                      <a:off x="0" y="0"/>
                      <a:ext cx="6264000" cy="5399842"/>
                    </a:xfrm>
                    <a:prstGeom prst="rect"/>
                  </pic:spPr>
                </pic:pic>
              </a:graphicData>
            </a:graphic>
          </wp:inline>
        </w:drawing>
      </w:r>
    </w:p>
    <w:p>
      <w:pPr>
        <w:spacing w:line="240" w:lineRule="auto" w:after="80"/>
        <w:jc w:val="both"/>
      </w:pPr>
      <w:bookmarkStart w:id="16" w:name="fig_S8"/>
      <w:bookmarkEnd w:id="16"/>
      <w:hyperlink w:anchor="fig_S8" w:history="1">
        <w:r>
          <w:rPr>
            <w:b/>
            <w:i w:val="0"/>
            <w:color w:val="1F5FA8"/>
            <w:sz w:val="20"/>
          </w:rPr>
          <w:t>Figure S8</w:t>
        </w:r>
      </w:hyperlink>
      <w:r>
        <w:rPr>
          <w:b/>
          <w:i w:val="0"/>
          <w:sz w:val="20"/>
        </w:rPr>
        <w:t xml:space="preserve">. Downstream estimates and group tests in simulation, related to </w:t>
      </w:r>
      <w:hyperlink w:anchor="fig_3" w:history="1">
        <w:r>
          <w:rPr>
            <w:b/>
            <w:i w:val="0"/>
            <w:color w:val="1F5FA8"/>
            <w:sz w:val="20"/>
          </w:rPr>
          <w:t>Figure 3</w:t>
        </w:r>
      </w:hyperlink>
      <w:r>
        <w:rPr>
          <w:b/>
          <w:i w:val="0"/>
          <w:sz w:val="20"/>
        </w:rPr>
        <w:t xml:space="preserve"> (page 1 of 2). </w:t>
      </w:r>
      <w:r>
        <w:rPr>
          <w:b w:val="0"/>
          <w:i w:val="0"/>
          <w:sz w:val="20"/>
        </w:rPr>
        <w:t xml:space="preserve">What the read-library route's estimates and group comparisons deliver once calls are made. </w:t>
      </w:r>
      <w:r>
        <w:rPr>
          <w:b w:val="0"/>
          <w:i w:val="0"/>
          <w:sz w:val="20"/>
        </w:rPr>
        <w:t>(</w:t>
      </w:r>
      <w:r>
        <w:rPr>
          <w:b/>
          <w:i w:val="0"/>
          <w:sz w:val="20"/>
        </w:rPr>
        <w:t>A</w:t>
      </w:r>
      <w:r>
        <w:rPr>
          <w:b w:val="0"/>
          <w:i w:val="0"/>
          <w:sz w:val="20"/>
        </w:rPr>
        <w:t>)</w:t>
      </w:r>
      <w:r>
        <w:rPr>
          <w:b w:val="0"/>
          <w:i w:val="0"/>
          <w:sz w:val="20"/>
        </w:rPr>
        <w:t xml:space="preserve"> Recall by read support in simulated J</w:t>
      </w:r>
      <w:r>
        <w:rPr>
          <w:i w:val="0"/>
          <w:sz w:val="20"/>
          <w:vertAlign w:val="subscript"/>
        </w:rPr>
        <w:t>H</w:t>
      </w:r>
      <w:r>
        <w:rPr>
          <w:b w:val="0"/>
          <w:i w:val="0"/>
          <w:sz w:val="20"/>
        </w:rPr>
        <w:t xml:space="preserve">4 libraries of approximately 40 clones (power-law clone sizes; S5F-weighted mutations shared by a clone, a branch or one read), three libraries per scenario; vertical lines, range over the three libraries; text, false calls per library in all-null libraries. </w:t>
      </w:r>
      <w:r>
        <w:rPr>
          <w:b w:val="0"/>
          <w:i w:val="0"/>
          <w:sz w:val="20"/>
        </w:rPr>
        <w:t>(</w:t>
      </w:r>
      <w:r>
        <w:rPr>
          <w:b/>
          <w:i w:val="0"/>
          <w:sz w:val="20"/>
        </w:rPr>
        <w:t>B</w:t>
      </w:r>
      <w:r>
        <w:rPr>
          <w:b w:val="0"/>
          <w:i w:val="0"/>
          <w:sz w:val="20"/>
        </w:rPr>
        <w:t>)</w:t>
      </w:r>
      <w:r>
        <w:rPr>
          <w:b w:val="0"/>
          <w:i w:val="0"/>
          <w:sz w:val="20"/>
        </w:rPr>
        <w:t xml:space="preserve"> Read- and clone-weighted estimates against their own truth; bars, mean estimates; black ticks, mean truth; stems join each library's truth to its estimate, because the truth differs between libraries. In the expanded scenario an unmutated clone contributes 60% of reads. </w:t>
      </w:r>
      <w:r>
        <w:rPr>
          <w:b w:val="0"/>
          <w:i w:val="0"/>
          <w:sz w:val="20"/>
        </w:rPr>
        <w:t>(</w:t>
      </w:r>
      <w:r>
        <w:rPr>
          <w:b/>
          <w:i w:val="0"/>
          <w:sz w:val="20"/>
        </w:rPr>
        <w:t>C</w:t>
      </w:r>
      <w:r>
        <w:rPr>
          <w:b w:val="0"/>
          <w:i w:val="0"/>
          <w:sz w:val="20"/>
        </w:rPr>
        <w:t>)</w:t>
      </w:r>
      <w:r>
        <w:rPr>
          <w:b w:val="0"/>
          <w:i w:val="0"/>
          <w:sz w:val="20"/>
        </w:rPr>
        <w:t xml:space="preserve"> Estimate ÷ truth against depth, means and ranges over three held-out controls; solid, J</w:t>
      </w:r>
      <w:r>
        <w:rPr>
          <w:i w:val="0"/>
          <w:sz w:val="20"/>
          <w:vertAlign w:val="subscript"/>
        </w:rPr>
        <w:t>H</w:t>
      </w:r>
      <w:r>
        <w:rPr>
          <w:b w:val="0"/>
          <w:i w:val="0"/>
          <w:sz w:val="20"/>
        </w:rPr>
        <w:t>4 polyclonal; dashed, N114 V</w:t>
      </w:r>
      <w:r>
        <w:rPr>
          <w:i w:val="0"/>
          <w:sz w:val="20"/>
          <w:vertAlign w:val="subscript"/>
        </w:rPr>
        <w:t>H</w:t>
      </w:r>
      <w:r>
        <w:rPr>
          <w:b w:val="0"/>
          <w:i w:val="0"/>
          <w:sz w:val="20"/>
        </w:rPr>
        <w:t xml:space="preserve"> subclonal. Combined density adds estimated uncalled single-read events. </w:t>
      </w:r>
      <w:r>
        <w:rPr>
          <w:b w:val="0"/>
          <w:i w:val="0"/>
          <w:sz w:val="20"/>
        </w:rPr>
        <w:t>(</w:t>
      </w:r>
      <w:r>
        <w:rPr>
          <w:b/>
          <w:i w:val="0"/>
          <w:sz w:val="20"/>
        </w:rPr>
        <w:t>D</w:t>
      </w:r>
      <w:r>
        <w:rPr>
          <w:b w:val="0"/>
          <w:i w:val="0"/>
          <w:sz w:val="20"/>
        </w:rPr>
        <w:t>)</w:t>
      </w:r>
      <w:r>
        <w:rPr>
          <w:b w:val="0"/>
          <w:i w:val="0"/>
          <w:sz w:val="20"/>
        </w:rPr>
        <w:t xml:space="preserve"> Change in the aggregate single-read estimate against one-read mutations planted into held-out J</w:t>
      </w:r>
      <w:r>
        <w:rPr>
          <w:i w:val="0"/>
          <w:sz w:val="20"/>
          <w:vertAlign w:val="subscript"/>
        </w:rPr>
        <w:t>H</w:t>
      </w:r>
      <w:r>
        <w:rPr>
          <w:b w:val="0"/>
          <w:i w:val="0"/>
          <w:sz w:val="20"/>
        </w:rPr>
        <w:t xml:space="preserve">4 control libraries (three controls; three replicates per amount); dashed line, identity. </w:t>
      </w:r>
      <w:r>
        <w:rPr>
          <w:b w:val="0"/>
          <w:i w:val="0"/>
          <w:sz w:val="20"/>
        </w:rPr>
        <w:t>(</w:t>
      </w:r>
      <w:r>
        <w:rPr>
          <w:b/>
          <w:i w:val="0"/>
          <w:sz w:val="20"/>
        </w:rPr>
        <w:t>E</w:t>
      </w:r>
      <w:r>
        <w:rPr>
          <w:b w:val="0"/>
          <w:i w:val="0"/>
          <w:sz w:val="20"/>
        </w:rPr>
        <w:t>)</w:t>
      </w:r>
      <w:r>
        <w:rPr>
          <w:b w:val="0"/>
          <w:i w:val="0"/>
          <w:sz w:val="20"/>
        </w:rPr>
        <w:t xml:space="preserve">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val="0"/>
          <w:i w:val="0"/>
          <w:sz w:val="20"/>
        </w:rPr>
        <w:t>(</w:t>
      </w:r>
      <w:r>
        <w:rPr>
          <w:b/>
          <w:i w:val="0"/>
          <w:sz w:val="20"/>
        </w:rPr>
        <w:t>F</w:t>
      </w:r>
      <w:r>
        <w:rPr>
          <w:b w:val="0"/>
          <w:i w:val="0"/>
          <w:sz w:val="20"/>
        </w:rPr>
        <w:t>)</w:t>
      </w:r>
      <w:r>
        <w:rPr>
          <w:b w:val="0"/>
          <w:i w:val="0"/>
          <w:sz w:val="20"/>
        </w:rPr>
        <w:t xml:space="preserve"> Power at α = 0.05, two-sided, from the Welch test on log rates, by animals per group and by the size of the difference sought, simulated from the J</w:t>
      </w:r>
      <w:r>
        <w:rPr>
          <w:i w:val="0"/>
          <w:sz w:val="20"/>
          <w:vertAlign w:val="subscript"/>
        </w:rPr>
        <w:t>H</w:t>
      </w:r>
      <w:r>
        <w:rPr>
          <w:b w:val="0"/>
          <w:i w:val="0"/>
          <w:sz w:val="20"/>
        </w:rPr>
        <w:t>4 wild-type pilot (3 mice, 500 reads each; 1,000 experiments per point; negative-binomial counts with the pilot's clumping, animals log-normal with the 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pPr>
        <w:keepNext/>
        <w:pageBreakBefore/>
        <w:jc w:val="center"/>
      </w:pPr>
      <w:r>
        <w:drawing>
          <wp:inline xmlns:a="http://schemas.openxmlformats.org/drawingml/2006/main" xmlns:pic="http://schemas.openxmlformats.org/drawingml/2006/picture">
            <wp:extent cx="6264000" cy="2088000"/>
            <wp:docPr id="17" name="Picture 17"/>
            <wp:cNvGraphicFramePr>
              <a:graphicFrameLocks noChangeAspect="1"/>
            </wp:cNvGraphicFramePr>
            <a:graphic>
              <a:graphicData uri="http://schemas.openxmlformats.org/drawingml/2006/picture">
                <pic:pic>
                  <pic:nvPicPr>
                    <pic:cNvPr id="0" name="FigureS8_umi.png"/>
                    <pic:cNvPicPr/>
                  </pic:nvPicPr>
                  <pic:blipFill>
                    <a:blip r:embed="rId26"/>
                    <a:stretch>
                      <a:fillRect/>
                    </a:stretch>
                  </pic:blipFill>
                  <pic:spPr>
                    <a:xfrm>
                      <a:off x="0" y="0"/>
                      <a:ext cx="6264000" cy="2088000"/>
                    </a:xfrm>
                    <a:prstGeom prst="rect"/>
                  </pic:spPr>
                </pic:pic>
              </a:graphicData>
            </a:graphic>
          </wp:inline>
        </w:drawing>
      </w:r>
    </w:p>
    <w:p>
      <w:pPr>
        <w:spacing w:line="240" w:lineRule="auto" w:after="80"/>
        <w:jc w:val="both"/>
      </w:pPr>
      <w:hyperlink w:anchor="fig_S8" w:history="1">
        <w:r>
          <w:rPr>
            <w:b/>
            <w:i w:val="0"/>
            <w:color w:val="1F5FA8"/>
            <w:sz w:val="20"/>
          </w:rPr>
          <w:t>Figure S8</w:t>
        </w:r>
      </w:hyperlink>
      <w:r>
        <w:rPr>
          <w:b/>
          <w:i w:val="0"/>
          <w:sz w:val="20"/>
        </w:rPr>
        <w:t xml:space="preserve">. UMI consensus in simulation and on real reads, related to </w:t>
      </w:r>
      <w:hyperlink w:anchor="fig_3" w:history="1">
        <w:r>
          <w:rPr>
            <w:b/>
            <w:i w:val="0"/>
            <w:color w:val="1F5FA8"/>
            <w:sz w:val="20"/>
          </w:rPr>
          <w:t>Figure 3</w:t>
        </w:r>
      </w:hyperlink>
      <w:r>
        <w:rPr>
          <w:b/>
          <w:i w:val="0"/>
          <w:sz w:val="20"/>
        </w:rPr>
        <w:t xml:space="preserve"> (page 2 of 2). </w:t>
      </w:r>
      <w:r>
        <w:rPr>
          <w:b w:val="0"/>
          <w:i w:val="0"/>
          <w:sz w:val="20"/>
        </w:rPr>
        <w:t>(</w:t>
      </w:r>
      <w:r>
        <w:rPr>
          <w:b/>
          <w:i w:val="0"/>
          <w:sz w:val="20"/>
        </w:rPr>
        <w:t>G</w:t>
      </w:r>
      <w:r>
        <w:rPr>
          <w:b w:val="0"/>
          <w:i w:val="0"/>
          <w:sz w:val="20"/>
        </w:rPr>
        <w:t>)</w:t>
      </w:r>
      <w:r>
        <w:rPr>
          <w:b w:val="0"/>
          <w:i w:val="0"/>
          <w:sz w:val="20"/>
        </w:rPr>
        <w:t xml:space="preserve"> Simulated UMI libraries built from real control reads, three held-out controls each: false calls per library when every read is used and when reads are first collapsed to a consensus by tag. The four conditions are the two amplicons under two planted mutation loads: J</w:t>
      </w:r>
      <w:r>
        <w:rPr>
          <w:i w:val="0"/>
          <w:sz w:val="20"/>
          <w:vertAlign w:val="subscript"/>
        </w:rPr>
        <w:t>H</w:t>
      </w:r>
      <w:r>
        <w:rPr>
          <w:b w:val="0"/>
          <w:i w:val="0"/>
          <w:sz w:val="20"/>
        </w:rPr>
        <w:t>4 polyclonal (about 40 clones) and J</w:t>
      </w:r>
      <w:r>
        <w:rPr>
          <w:i w:val="0"/>
          <w:sz w:val="20"/>
          <w:vertAlign w:val="subscript"/>
        </w:rPr>
        <w:t>H</w:t>
      </w:r>
      <w:r>
        <w:rPr>
          <w:b w:val="0"/>
          <w:i w:val="0"/>
          <w:sz w:val="20"/>
        </w:rPr>
        <w:t>4 low load, and N114 V</w:t>
      </w:r>
      <w:r>
        <w:rPr>
          <w:i w:val="0"/>
          <w:sz w:val="20"/>
          <w:vertAlign w:val="subscript"/>
        </w:rPr>
        <w:t>H</w:t>
      </w:r>
      <w:r>
        <w:rPr>
          <w:b w:val="0"/>
          <w:i w:val="0"/>
          <w:sz w:val="20"/>
        </w:rPr>
        <w:t xml:space="preserve"> subclonal (one dominant clone) and N114 V</w:t>
      </w:r>
      <w:r>
        <w:rPr>
          <w:i w:val="0"/>
          <w:sz w:val="20"/>
          <w:vertAlign w:val="subscript"/>
        </w:rPr>
        <w:t>H</w:t>
      </w:r>
      <w:r>
        <w:rPr>
          <w:b w:val="0"/>
          <w:i w:val="0"/>
          <w:sz w:val="20"/>
        </w:rPr>
        <w:t xml:space="preserve"> low load, the same scenarios as </w:t>
      </w:r>
      <w:hyperlink w:anchor="fig_S8" w:history="1">
        <w:r>
          <w:rPr>
            <w:b/>
            <w:i w:val="0"/>
            <w:color w:val="1F5FA8"/>
            <w:sz w:val="20"/>
          </w:rPr>
          <w:t>Figure S8A</w:t>
        </w:r>
      </w:hyperlink>
      <w:r>
        <w:rPr>
          <w:b w:val="0"/>
          <w:i w:val="0"/>
          <w:sz w:val="20"/>
        </w:rPr>
        <w:t xml:space="preserve">.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val="0"/>
          <w:i w:val="0"/>
          <w:sz w:val="20"/>
        </w:rPr>
        <w:t>(</w:t>
      </w:r>
      <w:r>
        <w:rPr>
          <w:b/>
          <w:i w:val="0"/>
          <w:sz w:val="20"/>
        </w:rPr>
        <w:t>H</w:t>
      </w:r>
      <w:r>
        <w:rPr>
          <w:b w:val="0"/>
          <w:i w:val="0"/>
          <w:sz w:val="20"/>
        </w:rPr>
        <w:t>)</w:t>
      </w:r>
      <w:r>
        <w:rPr>
          <w:b w:val="0"/>
          <w:i w:val="0"/>
          <w:sz w:val="20"/>
        </w:rPr>
        <w:t xml:space="preserve"> The same question on real data: error remaining after consensus in dual-UMI R10 reads of rRNA operons</w:t>
      </w:r>
      <w:hyperlink w:anchor="ref_44" w:history="1">
        <w:r>
          <w:rPr>
            <w:i w:val="0"/>
            <w:color w:val="1F5FA8"/>
            <w:sz w:val="20"/>
            <w:vertAlign w:val="superscript"/>
          </w:rPr>
          <w:t>44</w:t>
        </w:r>
      </w:hyperlink>
      <w:r>
        <w:rPr>
          <w:b w:val="0"/>
          <w:i w:val="0"/>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i w:val="0"/>
            <w:color w:val="1F5FA8"/>
            <w:sz w:val="20"/>
          </w:rPr>
          <w:t>Figure 7</w:t>
        </w:r>
      </w:hyperlink>
      <w:r>
        <w:rPr>
          <w:b w:val="0"/>
          <w:i w:val="0"/>
          <w:sz w:val="20"/>
        </w:rPr>
        <w:t>.</w:t>
      </w:r>
    </w:p>
    <w:p>
      <w:pPr>
        <w:keepNext/>
        <w:pageBreakBefore/>
        <w:jc w:val="center"/>
      </w:pPr>
      <w:r>
        <w:drawing>
          <wp:inline xmlns:a="http://schemas.openxmlformats.org/drawingml/2006/main" xmlns:pic="http://schemas.openxmlformats.org/drawingml/2006/picture">
            <wp:extent cx="6264000" cy="2664105"/>
            <wp:docPr id="18" name="Picture 18"/>
            <wp:cNvGraphicFramePr>
              <a:graphicFrameLocks noChangeAspect="1"/>
            </wp:cNvGraphicFramePr>
            <a:graphic>
              <a:graphicData uri="http://schemas.openxmlformats.org/drawingml/2006/picture">
                <pic:pic>
                  <pic:nvPicPr>
                    <pic:cNvPr id="0" name="FigureS9_n114.png"/>
                    <pic:cNvPicPr/>
                  </pic:nvPicPr>
                  <pic:blipFill>
                    <a:blip r:embed="rId27"/>
                    <a:stretch>
                      <a:fillRect/>
                    </a:stretch>
                  </pic:blipFill>
                  <pic:spPr>
                    <a:xfrm>
                      <a:off x="0" y="0"/>
                      <a:ext cx="6264000" cy="2664105"/>
                    </a:xfrm>
                    <a:prstGeom prst="rect"/>
                  </pic:spPr>
                </pic:pic>
              </a:graphicData>
            </a:graphic>
          </wp:inline>
        </w:drawing>
      </w:r>
    </w:p>
    <w:p>
      <w:pPr>
        <w:spacing w:line="240" w:lineRule="auto" w:after="80"/>
        <w:jc w:val="both"/>
      </w:pPr>
      <w:bookmarkStart w:id="17" w:name="fig_S9"/>
      <w:bookmarkEnd w:id="17"/>
      <w:hyperlink w:anchor="fig_S9" w:history="1">
        <w:r>
          <w:rPr>
            <w:b/>
            <w:i w:val="0"/>
            <w:color w:val="1F5FA8"/>
            <w:sz w:val="20"/>
          </w:rPr>
          <w:t>Figure S9</w:t>
        </w:r>
      </w:hyperlink>
      <w:r>
        <w:rPr>
          <w:b/>
          <w:i w:val="0"/>
          <w:sz w:val="20"/>
        </w:rPr>
        <w:t xml:space="preserve">. N114 V-region results, related to </w:t>
      </w:r>
      <w:hyperlink w:anchor="fig_4" w:history="1">
        <w:r>
          <w:rPr>
            <w:b/>
            <w:i w:val="0"/>
            <w:color w:val="1F5FA8"/>
            <w:sz w:val="20"/>
          </w:rPr>
          <w:t>Figure 4</w:t>
        </w:r>
      </w:hyperlink>
      <w:r>
        <w:rPr>
          <w:b/>
          <w:i w:val="0"/>
          <w:sz w:val="20"/>
        </w:rPr>
        <w:t xml:space="preserve"> (page 1 of 2). </w:t>
      </w:r>
      <w:r>
        <w:rPr>
          <w:b w:val="0"/>
          <w:i w:val="0"/>
          <w:sz w:val="20"/>
        </w:rPr>
        <w:t xml:space="preserve">AID expression drives mutation of the fixed immunoglobulin V-region substrate carried by N114 hybridoma cells. </w:t>
      </w:r>
      <w:r>
        <w:rPr>
          <w:b w:val="0"/>
          <w:i w:val="0"/>
          <w:sz w:val="20"/>
        </w:rPr>
        <w:t>(</w:t>
      </w:r>
      <w:r>
        <w:rPr>
          <w:b/>
          <w:i w:val="0"/>
          <w:sz w:val="20"/>
        </w:rPr>
        <w:t>A</w:t>
      </w:r>
      <w:r>
        <w:rPr>
          <w:b w:val="0"/>
          <w:i w:val="0"/>
          <w:sz w:val="20"/>
        </w:rPr>
        <w:t>)</w:t>
      </w:r>
      <w:r>
        <w:rPr>
          <w:b w:val="0"/>
          <w:i w:val="0"/>
          <w:sz w:val="20"/>
        </w:rPr>
        <w:t xml:space="preserve"> Unique-variant density in each subclone (n = 3 per vector), on a linear axis so that a subclone with no call sits at zero. </w:t>
      </w:r>
      <w:r>
        <w:rPr>
          <w:b w:val="0"/>
          <w:i w:val="0"/>
          <w:sz w:val="20"/>
        </w:rPr>
        <w:t>(</w:t>
      </w:r>
      <w:r>
        <w:rPr>
          <w:b/>
          <w:i w:val="0"/>
          <w:sz w:val="20"/>
        </w:rPr>
        <w:t>B, C</w:t>
      </w:r>
      <w:r>
        <w:rPr>
          <w:b w:val="0"/>
          <w:i w:val="0"/>
          <w:sz w:val="20"/>
        </w:rPr>
        <w:t>)</w:t>
      </w:r>
      <w:r>
        <w:rPr>
          <w:b w:val="0"/>
          <w:i w:val="0"/>
          <w:sz w:val="20"/>
        </w:rPr>
        <w:t xml:space="preserve"> Pooled From (rows) → To (columns) substitution matrices for the pMX-</w:t>
      </w:r>
      <w:r>
        <w:rPr>
          <w:i/>
          <w:sz w:val="20"/>
        </w:rPr>
        <w:t>Aicda</w:t>
      </w:r>
      <w:r>
        <w:rPr>
          <w:b w:val="0"/>
          <w:i w:val="0"/>
          <w:sz w:val="20"/>
        </w:rPr>
        <w:t xml:space="preserve"> subclones </w:t>
      </w:r>
      <w:r>
        <w:rPr>
          <w:b w:val="0"/>
          <w:i w:val="0"/>
          <w:sz w:val="20"/>
        </w:rPr>
        <w:t>(</w:t>
      </w:r>
      <w:r>
        <w:rPr>
          <w:b/>
          <w:i w:val="0"/>
          <w:sz w:val="20"/>
        </w:rPr>
        <w:t>B</w:t>
      </w:r>
      <w:r>
        <w:rPr>
          <w:b w:val="0"/>
          <w:i w:val="0"/>
          <w:sz w:val="20"/>
        </w:rPr>
        <w:t>)</w:t>
      </w:r>
      <w:r>
        <w:rPr>
          <w:b w:val="0"/>
          <w:i w:val="0"/>
          <w:sz w:val="20"/>
        </w:rPr>
        <w:t xml:space="preserve"> and the empty-vector subclones </w:t>
      </w:r>
      <w:r>
        <w:rPr>
          <w:b w:val="0"/>
          <w:i w:val="0"/>
          <w:sz w:val="20"/>
        </w:rPr>
        <w:t>(</w:t>
      </w:r>
      <w:r>
        <w:rPr>
          <w:b/>
          <w:i w:val="0"/>
          <w:sz w:val="20"/>
        </w:rPr>
        <w:t>C</w:t>
      </w:r>
      <w:r>
        <w:rPr>
          <w:b w:val="0"/>
          <w:i w:val="0"/>
          <w:sz w:val="20"/>
        </w:rPr>
        <w:t>)</w:t>
      </w:r>
      <w:r>
        <w:rPr>
          <w:b w:val="0"/>
          <w:i w:val="0"/>
          <w:sz w:val="20"/>
        </w:rPr>
        <w:t>. Each cell gives the unique-variant count; both matrices share one colour scale. The single empty-vector call is shown, but a spectrum of one call is not interpreted. Because N114 cells carry a fixed V-region substrate, do not undergo ongoing V</w:t>
      </w:r>
      <w:r>
        <w:rPr>
          <w:b w:val="0"/>
          <w:i w:val="0"/>
          <w:sz w:val="20"/>
        </w:rPr>
        <w:t>(</w:t>
      </w:r>
      <w:r>
        <w:rPr>
          <w:b/>
          <w:i w:val="0"/>
          <w:sz w:val="20"/>
        </w:rPr>
        <w:t>D</w:t>
      </w:r>
      <w:r>
        <w:rPr>
          <w:b w:val="0"/>
          <w:i w:val="0"/>
          <w:sz w:val="20"/>
        </w:rPr>
        <w:t>)</w:t>
      </w:r>
      <w:r>
        <w:rPr>
          <w:b w:val="0"/>
          <w:i w:val="0"/>
          <w:sz w:val="20"/>
        </w:rPr>
        <w:t>J recombination and are not selected here for antigen binding, the excess in pMX-</w:t>
      </w:r>
      <w:r>
        <w:rPr>
          <w:i/>
          <w:sz w:val="20"/>
        </w:rPr>
        <w:t>Aicda</w:t>
      </w:r>
      <w:r>
        <w:rPr>
          <w:b w:val="0"/>
          <w:i w:val="0"/>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5" w:history="1">
        <w:r>
          <w:rPr>
            <w:i w:val="0"/>
            <w:color w:val="1F5FA8"/>
            <w:sz w:val="20"/>
            <w:vertAlign w:val="superscript"/>
          </w:rPr>
          <w:t>45</w:t>
        </w:r>
      </w:hyperlink>
      <w:r>
        <w:rPr>
          <w:b w:val="0"/>
          <w:i w:val="0"/>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b w:val="0"/>
          <w:i w:val="0"/>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 Spectra of the individual libraries are shown on the following page.</w:t>
      </w:r>
    </w:p>
    <w:p>
      <w:pPr>
        <w:keepNext w:val="0"/>
        <w:pageBreakBefore/>
        <w:jc w:val="center"/>
      </w:pPr>
      <w:r>
        <w:drawing>
          <wp:inline xmlns:a="http://schemas.openxmlformats.org/drawingml/2006/main" xmlns:pic="http://schemas.openxmlformats.org/drawingml/2006/picture">
            <wp:extent cx="6264000" cy="3959580"/>
            <wp:docPr id="19" name="Picture 19"/>
            <wp:cNvGraphicFramePr>
              <a:graphicFrameLocks noChangeAspect="1"/>
            </wp:cNvGraphicFramePr>
            <a:graphic>
              <a:graphicData uri="http://schemas.openxmlformats.org/drawingml/2006/picture">
                <pic:pic>
                  <pic:nvPicPr>
                    <pic:cNvPr id="0" name="FigureS9_spectra_jh4.png"/>
                    <pic:cNvPicPr/>
                  </pic:nvPicPr>
                  <pic:blipFill>
                    <a:blip r:embed="rId28"/>
                    <a:stretch>
                      <a:fillRect/>
                    </a:stretch>
                  </pic:blipFill>
                  <pic:spPr>
                    <a:xfrm>
                      <a:off x="0" y="0"/>
                      <a:ext cx="6264000" cy="395958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3959580"/>
            <wp:docPr id="20" name="Picture 20"/>
            <wp:cNvGraphicFramePr>
              <a:graphicFrameLocks noChangeAspect="1"/>
            </wp:cNvGraphicFramePr>
            <a:graphic>
              <a:graphicData uri="http://schemas.openxmlformats.org/drawingml/2006/picture">
                <pic:pic>
                  <pic:nvPicPr>
                    <pic:cNvPr id="0" name="FigureS9_spectra_n114.png"/>
                    <pic:cNvPicPr/>
                  </pic:nvPicPr>
                  <pic:blipFill>
                    <a:blip r:embed="rId29"/>
                    <a:stretch>
                      <a:fillRect/>
                    </a:stretch>
                  </pic:blipFill>
                  <pic:spPr>
                    <a:xfrm>
                      <a:off x="0" y="0"/>
                      <a:ext cx="6264000" cy="3959580"/>
                    </a:xfrm>
                    <a:prstGeom prst="rect"/>
                  </pic:spPr>
                </pic:pic>
              </a:graphicData>
            </a:graphic>
          </wp:inline>
        </w:drawing>
      </w:r>
    </w:p>
    <w:p>
      <w:pPr>
        <w:spacing w:line="240" w:lineRule="auto" w:after="80"/>
        <w:jc w:val="both"/>
      </w:pPr>
      <w:hyperlink w:anchor="fig_S9" w:history="1">
        <w:r>
          <w:rPr>
            <w:b/>
            <w:i w:val="0"/>
            <w:color w:val="1F5FA8"/>
            <w:sz w:val="20"/>
          </w:rPr>
          <w:t>Figure S9</w:t>
        </w:r>
      </w:hyperlink>
      <w:r>
        <w:rPr>
          <w:b/>
          <w:i w:val="0"/>
          <w:sz w:val="20"/>
        </w:rPr>
        <w:t xml:space="preserve">. Per-library spectra, related to </w:t>
      </w:r>
      <w:hyperlink w:anchor="fig_4" w:history="1">
        <w:r>
          <w:rPr>
            <w:b/>
            <w:i w:val="0"/>
            <w:color w:val="1F5FA8"/>
            <w:sz w:val="20"/>
          </w:rPr>
          <w:t>Figure 4</w:t>
        </w:r>
      </w:hyperlink>
      <w:r>
        <w:rPr>
          <w:b/>
          <w:i w:val="0"/>
          <w:sz w:val="20"/>
        </w:rPr>
        <w:t xml:space="preserve"> (page 2 of 2). </w:t>
      </w:r>
      <w:r>
        <w:rPr>
          <w:b w:val="0"/>
          <w:i w:val="0"/>
          <w:sz w:val="20"/>
        </w:rPr>
        <w:t xml:space="preserve">The same spectra resolved to one matrix per library, so that the pooled patterns of </w:t>
      </w:r>
      <w:hyperlink w:anchor="fig_4" w:history="1">
        <w:r>
          <w:rPr>
            <w:b/>
            <w:i w:val="0"/>
            <w:color w:val="1F5FA8"/>
            <w:sz w:val="20"/>
          </w:rPr>
          <w:t>Figure 4</w:t>
        </w:r>
      </w:hyperlink>
      <w:r>
        <w:rPr>
          <w:b w:val="0"/>
          <w:i w:val="0"/>
          <w:sz w:val="20"/>
        </w:rPr>
        <w:t xml:space="preserve"> and the preceding page can be seen to hold in each animal and subclone rather than in the pool alone. Top, J</w:t>
      </w:r>
      <w:r>
        <w:rPr>
          <w:i w:val="0"/>
          <w:sz w:val="20"/>
          <w:vertAlign w:val="subscript"/>
        </w:rPr>
        <w:t>H</w:t>
      </w:r>
      <w:r>
        <w:rPr>
          <w:b w:val="0"/>
          <w:i w:val="0"/>
          <w:sz w:val="20"/>
        </w:rPr>
        <w:t>4 wild-type (</w:t>
      </w:r>
      <w:r>
        <w:rPr>
          <w:i/>
          <w:sz w:val="20"/>
        </w:rPr>
        <w:t>Wt</w:t>
      </w:r>
      <w:r>
        <w:rPr>
          <w:b w:val="0"/>
          <w:i w:val="0"/>
          <w:sz w:val="20"/>
        </w:rPr>
        <w:t xml:space="preserve">) and </w:t>
      </w:r>
      <w:r>
        <w:rPr>
          <w:i/>
          <w:sz w:val="20"/>
        </w:rPr>
        <w:t>Aicda</w:t>
      </w:r>
      <w:r>
        <w:rPr>
          <w:i w:val="0"/>
          <w:sz w:val="20"/>
          <w:vertAlign w:val="superscript"/>
        </w:rPr>
        <w:t>−/−</w:t>
      </w:r>
      <w:r>
        <w:rPr>
          <w:b w:val="0"/>
          <w:i w:val="0"/>
          <w:sz w:val="20"/>
        </w:rPr>
        <w:t xml:space="preserve"> libraries; bottom, N114 V</w:t>
      </w:r>
      <w:r>
        <w:rPr>
          <w:i w:val="0"/>
          <w:sz w:val="20"/>
          <w:vertAlign w:val="subscript"/>
        </w:rPr>
        <w:t>H</w:t>
      </w:r>
      <w:r>
        <w:rPr>
          <w:b w:val="0"/>
          <w:i w:val="0"/>
          <w:sz w:val="20"/>
        </w:rPr>
        <w:t xml:space="preserve"> pMX-</w:t>
      </w:r>
      <w:r>
        <w:rPr>
          <w:i/>
          <w:sz w:val="20"/>
        </w:rPr>
        <w:t>Aicda</w:t>
      </w:r>
      <w:r>
        <w:rPr>
          <w:b w:val="0"/>
          <w:i w:val="0"/>
          <w:sz w:val="20"/>
        </w:rPr>
        <w:t xml:space="preserve"> and empty-vector subclones. Within each component </w:t>
      </w:r>
      <w:r>
        <w:rPr>
          <w:b w:val="0"/>
          <w:i w:val="0"/>
          <w:sz w:val="20"/>
        </w:rPr>
        <w:t>(</w:t>
      </w:r>
      <w:r>
        <w:rPr>
          <w:b/>
          <w:i w:val="0"/>
          <w:sz w:val="20"/>
        </w:rPr>
        <w:t>A</w:t>
      </w:r>
      <w:r>
        <w:rPr>
          <w:b w:val="0"/>
          <w:i w:val="0"/>
          <w:sz w:val="20"/>
        </w:rPr>
        <w:t>)</w:t>
      </w:r>
      <w:r>
        <w:rPr>
          <w:b w:val="0"/>
          <w:i w:val="0"/>
          <w:sz w:val="20"/>
        </w:rPr>
        <w:t xml:space="preserve"> denotes the AID-active libraries and </w:t>
      </w:r>
      <w:r>
        <w:rPr>
          <w:b w:val="0"/>
          <w:i w:val="0"/>
          <w:sz w:val="20"/>
        </w:rPr>
        <w:t>(</w:t>
      </w:r>
      <w:r>
        <w:rPr>
          <w:b/>
          <w:i w:val="0"/>
          <w:sz w:val="20"/>
        </w:rPr>
        <w:t>B</w:t>
      </w:r>
      <w:r>
        <w:rPr>
          <w:b w:val="0"/>
          <w:i w:val="0"/>
          <w:sz w:val="20"/>
        </w:rPr>
        <w:t>)</w:t>
      </w:r>
      <w:r>
        <w:rPr>
          <w:b w:val="0"/>
          <w:i w:val="0"/>
          <w:sz w:val="20"/>
        </w:rPr>
        <w:t xml:space="preserve"> the AID-null libraries, and the panel letters restart in the lower component. Matrices are oriented From (rows) → To (columns), and each cell gives the unique-variant count, on one colour scale per page. A library with no call has no spectrum, and totals of one or two calls are descriptive only. Experimental details: the libraries are those of </w:t>
      </w:r>
      <w:hyperlink w:anchor="fig_4" w:history="1">
        <w:r>
          <w:rPr>
            <w:b/>
            <w:i w:val="0"/>
            <w:color w:val="1F5FA8"/>
            <w:sz w:val="20"/>
          </w:rPr>
          <w:t>Figures 4</w:t>
        </w:r>
      </w:hyperlink>
      <w:r>
        <w:rPr>
          <w:b/>
          <w:i w:val="0"/>
          <w:sz w:val="20"/>
        </w:rPr>
        <w:t xml:space="preserve"> and </w:t>
      </w:r>
      <w:hyperlink w:anchor="fig_5" w:history="1">
        <w:r>
          <w:rPr>
            <w:b/>
            <w:i w:val="0"/>
            <w:color w:val="1F5FA8"/>
            <w:sz w:val="20"/>
          </w:rPr>
          <w:t>5</w:t>
        </w:r>
      </w:hyperlink>
      <w:r>
        <w:rPr>
          <w:b w:val="0"/>
          <w:i w:val="0"/>
          <w:sz w:val="20"/>
        </w:rPr>
        <w:t>, analysed at 500 reads each.</w:t>
      </w:r>
    </w:p>
    <w:p>
      <w:pPr>
        <w:keepNext/>
        <w:pageBreakBefore/>
        <w:jc w:val="center"/>
      </w:pPr>
      <w:r>
        <w:drawing>
          <wp:inline xmlns:a="http://schemas.openxmlformats.org/drawingml/2006/main" xmlns:pic="http://schemas.openxmlformats.org/drawingml/2006/picture">
            <wp:extent cx="6264000" cy="3743159"/>
            <wp:docPr id="21" name="Picture 21"/>
            <wp:cNvGraphicFramePr>
              <a:graphicFrameLocks noChangeAspect="1"/>
            </wp:cNvGraphicFramePr>
            <a:graphic>
              <a:graphicData uri="http://schemas.openxmlformats.org/drawingml/2006/picture">
                <pic:pic>
                  <pic:nvPicPr>
                    <pic:cNvPr id="0" name="FigureS10.png"/>
                    <pic:cNvPicPr/>
                  </pic:nvPicPr>
                  <pic:blipFill>
                    <a:blip r:embed="rId30"/>
                    <a:stretch>
                      <a:fillRect/>
                    </a:stretch>
                  </pic:blipFill>
                  <pic:spPr>
                    <a:xfrm>
                      <a:off x="0" y="0"/>
                      <a:ext cx="6264000" cy="3743159"/>
                    </a:xfrm>
                    <a:prstGeom prst="rect"/>
                  </pic:spPr>
                </pic:pic>
              </a:graphicData>
            </a:graphic>
          </wp:inline>
        </w:drawing>
      </w:r>
    </w:p>
    <w:p>
      <w:pPr>
        <w:spacing w:line="240" w:lineRule="auto" w:after="80"/>
        <w:jc w:val="both"/>
      </w:pPr>
      <w:bookmarkStart w:id="18" w:name="fig_S10"/>
      <w:bookmarkEnd w:id="18"/>
      <w:hyperlink w:anchor="fig_S10" w:history="1">
        <w:r>
          <w:rPr>
            <w:b/>
            <w:i w:val="0"/>
            <w:color w:val="1F5FA8"/>
            <w:sz w:val="20"/>
          </w:rPr>
          <w:t>Figure S10</w:t>
        </w:r>
      </w:hyperlink>
      <w:r>
        <w:rPr>
          <w:b/>
          <w:i w:val="0"/>
          <w:sz w:val="20"/>
        </w:rPr>
        <w:t xml:space="preserve">. Sequencing depth and unique-variant discovery, related to </w:t>
      </w:r>
      <w:hyperlink w:anchor="fig_4" w:history="1">
        <w:r>
          <w:rPr>
            <w:b/>
            <w:i w:val="0"/>
            <w:color w:val="1F5FA8"/>
            <w:sz w:val="20"/>
          </w:rPr>
          <w:t>Figure 4</w:t>
        </w:r>
      </w:hyperlink>
      <w:r>
        <w:rPr>
          <w:b/>
          <w:i w:val="0"/>
          <w:sz w:val="20"/>
        </w:rPr>
        <w:t xml:space="preserve">. </w:t>
      </w:r>
      <w:r>
        <w:rPr>
          <w:b w:val="0"/>
          <w:i w:val="0"/>
          <w:sz w:val="20"/>
        </w:rPr>
        <w:t xml:space="preserve">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val="0"/>
          <w:i w:val="0"/>
          <w:sz w:val="20"/>
        </w:rPr>
        <w:t>(</w:t>
      </w:r>
      <w:r>
        <w:rPr>
          <w:b/>
          <w:i w:val="0"/>
          <w:sz w:val="20"/>
        </w:rPr>
        <w:t>A and B</w:t>
      </w:r>
      <w:r>
        <w:rPr>
          <w:b w:val="0"/>
          <w:i w:val="0"/>
          <w:sz w:val="20"/>
        </w:rPr>
        <w:t>)</w:t>
      </w:r>
      <w:r>
        <w:rPr>
          <w:b w:val="0"/>
          <w:i w:val="0"/>
          <w:sz w:val="20"/>
        </w:rPr>
        <w:t xml:space="preserve"> J</w:t>
      </w:r>
      <w:r>
        <w:rPr>
          <w:i w:val="0"/>
          <w:sz w:val="20"/>
          <w:vertAlign w:val="subscript"/>
        </w:rPr>
        <w:t>H</w:t>
      </w:r>
      <w:r>
        <w:rPr>
          <w:b w:val="0"/>
          <w:i w:val="0"/>
          <w:sz w:val="20"/>
        </w:rPr>
        <w:t xml:space="preserve">4 unique variants and unique-variant density against depth; </w:t>
      </w:r>
      <w:r>
        <w:rPr>
          <w:b w:val="0"/>
          <w:i w:val="0"/>
          <w:sz w:val="20"/>
        </w:rPr>
        <w:t>(</w:t>
      </w:r>
      <w:r>
        <w:rPr>
          <w:b/>
          <w:i w:val="0"/>
          <w:sz w:val="20"/>
        </w:rPr>
        <w:t>C and D</w:t>
      </w:r>
      <w:r>
        <w:rPr>
          <w:b w:val="0"/>
          <w:i w:val="0"/>
          <w:sz w:val="20"/>
        </w:rPr>
        <w:t>)</w:t>
      </w:r>
      <w:r>
        <w:rPr>
          <w:b w:val="0"/>
          <w:i w:val="0"/>
          <w:sz w:val="20"/>
        </w:rPr>
        <w:t xml:space="preserve"> the same for N114 V</w:t>
      </w:r>
      <w:r>
        <w:rPr>
          <w:i w:val="0"/>
          <w:sz w:val="20"/>
          <w:vertAlign w:val="subscript"/>
        </w:rPr>
        <w:t>H</w:t>
      </w:r>
      <w:r>
        <w:rPr>
          <w:b w:val="0"/>
          <w:i w:val="0"/>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i w:val="0"/>
          <w:sz w:val="20"/>
          <w:vertAlign w:val="subscript"/>
        </w:rPr>
        <w:t>H</w:t>
      </w:r>
      <w:r>
        <w:rPr>
          <w:b w:val="0"/>
          <w:i w:val="0"/>
          <w:sz w:val="20"/>
        </w:rPr>
        <w:t xml:space="preserve">4 KO1 and KO3 called nothing at any depth in any draw). Density falls with depth because its numerator, distinct calls, saturates while its denominator keeps growing, so a density is only comparable at a stated depth. </w:t>
      </w:r>
      <w:r>
        <w:rPr>
          <w:b w:val="0"/>
          <w:i w:val="0"/>
          <w:sz w:val="20"/>
        </w:rPr>
        <w:t>(</w:t>
      </w:r>
      <w:r>
        <w:rPr>
          <w:b/>
          <w:i w:val="0"/>
          <w:sz w:val="20"/>
        </w:rPr>
        <w:t>E</w:t>
      </w:r>
      <w:r>
        <w:rPr>
          <w:b w:val="0"/>
          <w:i w:val="0"/>
          <w:sz w:val="20"/>
        </w:rPr>
        <w:t>)</w:t>
      </w:r>
      <w:r>
        <w:rPr>
          <w:b w:val="0"/>
          <w:i w:val="0"/>
          <w:sz w:val="20"/>
        </w:rPr>
        <w:t xml:space="preserve">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i w:val="0"/>
          <w:sz w:val="20"/>
          <w:vertAlign w:val="subscript"/>
        </w:rPr>
        <w:t>H</w:t>
      </w:r>
      <w:r>
        <w:rPr>
          <w:b w:val="0"/>
          <w:i w:val="0"/>
          <w:sz w:val="20"/>
        </w:rPr>
        <w:t>4 libraries are near their own total by 500 reads (90% on average), whereas the N114 V</w:t>
      </w:r>
      <w:r>
        <w:rPr>
          <w:i w:val="0"/>
          <w:sz w:val="20"/>
          <w:vertAlign w:val="subscript"/>
        </w:rPr>
        <w:t>H</w:t>
      </w:r>
      <w:r>
        <w:rPr>
          <w:b w:val="0"/>
          <w:i w:val="0"/>
          <w:sz w:val="20"/>
        </w:rPr>
        <w:t xml:space="preserve"> libraries, which carry fewer mutations, are still climbing (59%). At 30 reads one draw is not informative: J</w:t>
      </w:r>
      <w:r>
        <w:rPr>
          <w:i w:val="0"/>
          <w:sz w:val="20"/>
          <w:vertAlign w:val="subscript"/>
        </w:rPr>
        <w:t>H</w:t>
      </w:r>
      <w:r>
        <w:rPr>
          <w:b w:val="0"/>
          <w:i w:val="0"/>
          <w:sz w:val="20"/>
        </w:rPr>
        <w:t>4 Wt2 gave between 7 and 60 calls across its five draws, against 212 to 244 at 500 reads.</w:t>
      </w:r>
    </w:p>
    <w:p>
      <w:pPr>
        <w:keepNext/>
        <w:pageBreakBefore/>
        <w:jc w:val="center"/>
      </w:pPr>
      <w:r>
        <w:drawing>
          <wp:inline xmlns:a="http://schemas.openxmlformats.org/drawingml/2006/main" xmlns:pic="http://schemas.openxmlformats.org/drawingml/2006/picture">
            <wp:extent cx="6264000" cy="6119212"/>
            <wp:docPr id="22" name="Picture 22"/>
            <wp:cNvGraphicFramePr>
              <a:graphicFrameLocks noChangeAspect="1"/>
            </wp:cNvGraphicFramePr>
            <a:graphic>
              <a:graphicData uri="http://schemas.openxmlformats.org/drawingml/2006/picture">
                <pic:pic>
                  <pic:nvPicPr>
                    <pic:cNvPr id="0" name="FigureS11.png"/>
                    <pic:cNvPicPr/>
                  </pic:nvPicPr>
                  <pic:blipFill>
                    <a:blip r:embed="rId31"/>
                    <a:stretch>
                      <a:fillRect/>
                    </a:stretch>
                  </pic:blipFill>
                  <pic:spPr>
                    <a:xfrm>
                      <a:off x="0" y="0"/>
                      <a:ext cx="6264000" cy="6119212"/>
                    </a:xfrm>
                    <a:prstGeom prst="rect"/>
                  </pic:spPr>
                </pic:pic>
              </a:graphicData>
            </a:graphic>
          </wp:inline>
        </w:drawing>
      </w:r>
    </w:p>
    <w:p>
      <w:pPr>
        <w:spacing w:line="240" w:lineRule="auto" w:after="80"/>
        <w:jc w:val="both"/>
      </w:pPr>
      <w:bookmarkStart w:id="19" w:name="fig_S11"/>
      <w:bookmarkEnd w:id="19"/>
      <w:hyperlink w:anchor="fig_S11" w:history="1">
        <w:r>
          <w:rPr>
            <w:b/>
            <w:i w:val="0"/>
            <w:color w:val="1F5FA8"/>
            <w:sz w:val="20"/>
          </w:rPr>
          <w:t>Figure S11</w:t>
        </w:r>
      </w:hyperlink>
      <w:r>
        <w:rPr>
          <w:b/>
          <w:i w:val="0"/>
          <w:sz w:val="20"/>
        </w:rPr>
        <w:t xml:space="preserve">. The background along the amplicon and in each read, related to </w:t>
      </w:r>
      <w:hyperlink w:anchor="fig_4" w:history="1">
        <w:r>
          <w:rPr>
            <w:b/>
            <w:i w:val="0"/>
            <w:color w:val="1F5FA8"/>
            <w:sz w:val="20"/>
          </w:rPr>
          <w:t>Figure 4</w:t>
        </w:r>
      </w:hyperlink>
      <w:r>
        <w:rPr>
          <w:b/>
          <w:i w:val="0"/>
          <w:sz w:val="20"/>
        </w:rPr>
        <w:t xml:space="preserve">. </w:t>
      </w:r>
      <w:r>
        <w:rPr>
          <w:b w:val="0"/>
          <w:i w:val="0"/>
          <w:sz w:val="20"/>
        </w:rPr>
        <w:t>(</w:t>
      </w:r>
      <w:r>
        <w:rPr>
          <w:b/>
          <w:i w:val="0"/>
          <w:sz w:val="20"/>
        </w:rPr>
        <w:t>A and B</w:t>
      </w:r>
      <w:r>
        <w:rPr>
          <w:b w:val="0"/>
          <w:i w:val="0"/>
          <w:sz w:val="20"/>
        </w:rPr>
        <w:t>)</w:t>
      </w:r>
      <w:r>
        <w:rPr>
          <w:b w:val="0"/>
          <w:i w:val="0"/>
          <w:sz w:val="20"/>
        </w:rPr>
        <w:t xml:space="preserve">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i w:val="0"/>
          <w:sz w:val="20"/>
          <w:vertAlign w:val="subscript"/>
        </w:rPr>
        <w:t>H</w:t>
      </w:r>
      <w:r>
        <w:rPr>
          <w:b w:val="0"/>
          <w:i w:val="0"/>
          <w:sz w:val="20"/>
        </w:rPr>
        <w:t>4, 500 reads per library; Sμ (PRJNA1481264), 2,000. r, Spearman correlation between pairs of controls: the controls agree only weakly position by position (r = 0.12–0.20 over three pairs in J</w:t>
      </w:r>
      <w:r>
        <w:rPr>
          <w:i w:val="0"/>
          <w:sz w:val="20"/>
          <w:vertAlign w:val="subscript"/>
        </w:rPr>
        <w:t>H</w:t>
      </w:r>
      <w:r>
        <w:rPr>
          <w:b w:val="0"/>
          <w:i w:val="0"/>
          <w:sz w:val="20"/>
        </w:rPr>
        <w:t xml:space="preserve">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val="0"/>
          <w:i w:val="0"/>
          <w:sz w:val="20"/>
        </w:rPr>
        <w:t>(</w:t>
      </w:r>
      <w:r>
        <w:rPr>
          <w:b/>
          <w:i w:val="0"/>
          <w:sz w:val="20"/>
        </w:rPr>
        <w:t>C and D</w:t>
      </w:r>
      <w:r>
        <w:rPr>
          <w:b w:val="0"/>
          <w:i w:val="0"/>
          <w:sz w:val="20"/>
        </w:rPr>
        <w:t>)</w:t>
      </w:r>
      <w:r>
        <w:rPr>
          <w:b w:val="0"/>
          <w:i w:val="0"/>
          <w:sz w:val="20"/>
        </w:rPr>
        <w:t xml:space="preserve"> Every mismatch at quality ≥ 20 (germline sites excluded) in each of the 500 reads of a wild-type </w:t>
      </w:r>
      <w:r>
        <w:rPr>
          <w:b w:val="0"/>
          <w:i w:val="0"/>
          <w:sz w:val="20"/>
        </w:rPr>
        <w:t>(</w:t>
      </w:r>
      <w:r>
        <w:rPr>
          <w:b/>
          <w:i w:val="0"/>
          <w:sz w:val="20"/>
        </w:rPr>
        <w:t>C</w:t>
      </w:r>
      <w:r>
        <w:rPr>
          <w:b w:val="0"/>
          <w:i w:val="0"/>
          <w:sz w:val="20"/>
        </w:rPr>
        <w:t>)</w:t>
      </w:r>
      <w:r>
        <w:rPr>
          <w:b w:val="0"/>
          <w:i w:val="0"/>
          <w:sz w:val="20"/>
        </w:rPr>
        <w:t xml:space="preserve"> and an </w:t>
      </w:r>
      <w:r>
        <w:rPr>
          <w:i/>
          <w:sz w:val="20"/>
        </w:rPr>
        <w:t>Aicda</w:t>
      </w:r>
      <w:r>
        <w:rPr>
          <w:i w:val="0"/>
          <w:sz w:val="20"/>
          <w:vertAlign w:val="superscript"/>
        </w:rPr>
        <w:t>−/−</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J</w:t>
      </w:r>
      <w:r>
        <w:rPr>
          <w:i w:val="0"/>
          <w:sz w:val="20"/>
          <w:vertAlign w:val="subscript"/>
        </w:rPr>
        <w:t>H</w:t>
      </w:r>
      <w:r>
        <w:rPr>
          <w:b w:val="0"/>
          <w:i w:val="0"/>
          <w:sz w:val="20"/>
        </w:rPr>
        <w:t>4 library; colored, at sites SHMtrace called; gray, other mismatches. Reads are sorted by clone (dotted lines between the largest clones) and by mutation load.</w:t>
      </w:r>
    </w:p>
    <w:p>
      <w:pPr>
        <w:keepNext/>
        <w:pageBreakBefore/>
        <w:jc w:val="center"/>
      </w:pPr>
      <w:r>
        <w:drawing>
          <wp:inline xmlns:a="http://schemas.openxmlformats.org/drawingml/2006/main" xmlns:pic="http://schemas.openxmlformats.org/drawingml/2006/picture">
            <wp:extent cx="6264000" cy="2519317"/>
            <wp:docPr id="23" name="Picture 23"/>
            <wp:cNvGraphicFramePr>
              <a:graphicFrameLocks noChangeAspect="1"/>
            </wp:cNvGraphicFramePr>
            <a:graphic>
              <a:graphicData uri="http://schemas.openxmlformats.org/drawingml/2006/picture">
                <pic:pic>
                  <pic:nvPicPr>
                    <pic:cNvPr id="0" name="FigureS12_immcantation.png"/>
                    <pic:cNvPicPr/>
                  </pic:nvPicPr>
                  <pic:blipFill>
                    <a:blip r:embed="rId32"/>
                    <a:stretch>
                      <a:fillRect/>
                    </a:stretch>
                  </pic:blipFill>
                  <pic:spPr>
                    <a:xfrm>
                      <a:off x="0" y="0"/>
                      <a:ext cx="6264000" cy="2519317"/>
                    </a:xfrm>
                    <a:prstGeom prst="rect"/>
                  </pic:spPr>
                </pic:pic>
              </a:graphicData>
            </a:graphic>
          </wp:inline>
        </w:drawing>
      </w:r>
    </w:p>
    <w:p>
      <w:pPr>
        <w:spacing w:line="240" w:lineRule="auto" w:after="80"/>
        <w:jc w:val="both"/>
      </w:pPr>
      <w:bookmarkStart w:id="20" w:name="fig_S12"/>
      <w:bookmarkEnd w:id="20"/>
      <w:hyperlink w:anchor="fig_S12" w:history="1">
        <w:r>
          <w:rPr>
            <w:b/>
            <w:i w:val="0"/>
            <w:color w:val="1F5FA8"/>
            <w:sz w:val="20"/>
          </w:rPr>
          <w:t>Figure S12</w:t>
        </w:r>
      </w:hyperlink>
      <w:r>
        <w:rPr>
          <w:b/>
          <w:i w:val="0"/>
          <w:sz w:val="20"/>
        </w:rPr>
        <w:t>. SHMtrace and the IgBLAST–SHazaM route on the same N114 V</w:t>
      </w:r>
      <w:r>
        <w:rPr>
          <w:b/>
          <w:i w:val="0"/>
          <w:sz w:val="20"/>
          <w:vertAlign w:val="subscript"/>
        </w:rPr>
        <w:t>H</w:t>
      </w:r>
      <w:r>
        <w:rPr>
          <w:b/>
          <w:i w:val="0"/>
          <w:sz w:val="20"/>
        </w:rPr>
        <w:t xml:space="preserve"> reads, related to </w:t>
      </w:r>
      <w:hyperlink w:anchor="fig_4" w:history="1">
        <w:r>
          <w:rPr>
            <w:b/>
            <w:i w:val="0"/>
            <w:color w:val="1F5FA8"/>
            <w:sz w:val="20"/>
          </w:rPr>
          <w:t>Figure 4</w:t>
        </w:r>
      </w:hyperlink>
      <w:r>
        <w:rPr>
          <w:b/>
          <w:i w:val="0"/>
          <w:sz w:val="20"/>
        </w:rPr>
        <w:t xml:space="preserve">. </w:t>
      </w:r>
      <w:r>
        <w:rPr>
          <w:b w:val="0"/>
          <w:i w:val="0"/>
          <w:sz w:val="20"/>
        </w:rPr>
        <w:t>The 500 reads SHMtrace analyzed from each N114 V</w:t>
      </w:r>
      <w:r>
        <w:rPr>
          <w:i w:val="0"/>
          <w:sz w:val="20"/>
          <w:vertAlign w:val="subscript"/>
        </w:rPr>
        <w:t>H</w:t>
      </w:r>
      <w:r>
        <w:rPr>
          <w:b w:val="0"/>
          <w:i w:val="0"/>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val="0"/>
          <w:i w:val="0"/>
          <w:sz w:val="20"/>
        </w:rPr>
        <w:t>(</w:t>
      </w:r>
      <w:r>
        <w:rPr>
          <w:b/>
          <w:i w:val="0"/>
          <w:sz w:val="20"/>
        </w:rPr>
        <w:t>A</w:t>
      </w:r>
      <w:r>
        <w:rPr>
          <w:b w:val="0"/>
          <w:i w:val="0"/>
          <w:sz w:val="20"/>
        </w:rPr>
        <w:t>)</w:t>
      </w:r>
      <w:r>
        <w:rPr>
          <w:b w:val="0"/>
          <w:i w:val="0"/>
          <w:sz w:val="20"/>
        </w:rPr>
        <w:t xml:space="preserve"> Mutation frequency per library, the primary comparison; filled, pMX-</w:t>
      </w:r>
      <w:r>
        <w:rPr>
          <w:i/>
          <w:sz w:val="20"/>
        </w:rPr>
        <w:t>Aicda</w:t>
      </w:r>
      <w:r>
        <w:rPr>
          <w:b w:val="0"/>
          <w:i w:val="0"/>
          <w:sz w:val="20"/>
        </w:rPr>
        <w:t xml:space="preserve">; open, empty vector; libraries with no SHMtrace call sit in the 0 strip below the axis break; bars, geometric means with those zeros at one event. Beneath each route, its reference, the bases it keeps and what it counts. </w:t>
      </w:r>
      <w:r>
        <w:rPr>
          <w:b w:val="0"/>
          <w:i w:val="0"/>
          <w:sz w:val="20"/>
        </w:rPr>
        <w:t>(</w:t>
      </w:r>
      <w:r>
        <w:rPr>
          <w:b/>
          <w:i w:val="0"/>
          <w:sz w:val="20"/>
        </w:rPr>
        <w:t>B</w:t>
      </w:r>
      <w:r>
        <w:rPr>
          <w:b w:val="0"/>
          <w:i w:val="0"/>
          <w:sz w:val="20"/>
        </w:rPr>
        <w:t>)</w:t>
      </w:r>
      <w:r>
        <w:rPr>
          <w:b w:val="0"/>
          <w:i w:val="0"/>
          <w:sz w:val="20"/>
        </w:rPr>
        <w:t xml:space="preserve"> Secondary: geometric-mean separation; a near-zero denominator inflates it. The SHazaM routes count every substitution in every read, including real single-read mutations that SHMtrace does not call, so their AID-library values are higher (2.8 against 1.6 per 10</w:t>
      </w:r>
      <w:r>
        <w:rPr>
          <w:i w:val="0"/>
          <w:sz w:val="20"/>
          <w:vertAlign w:val="superscript"/>
        </w:rPr>
        <w:t>3</w:t>
      </w:r>
      <w:r>
        <w:rPr>
          <w:b w:val="0"/>
          <w:i w:val="0"/>
          <w:sz w:val="20"/>
        </w:rPr>
        <w:t xml:space="preserve"> bp with masking); their empty-vector values (4.22 and 0.09 per 10</w:t>
      </w:r>
      <w:r>
        <w:rPr>
          <w:i w:val="0"/>
          <w:sz w:val="20"/>
          <w:vertAlign w:val="superscript"/>
        </w:rPr>
        <w:t>3</w:t>
      </w:r>
      <w:r>
        <w:rPr>
          <w:b w:val="0"/>
          <w:i w:val="0"/>
          <w:sz w:val="20"/>
        </w:rPr>
        <w:t xml:space="preserve"> bp without and with the parental germline and masking) are the background they cannot remove. MiXCR was not run. Analysis in </w:t>
      </w:r>
      <w:r>
        <w:rPr>
          <w:rFonts w:ascii="Courier New" w:hAnsi="Courier New"/>
          <w:sz w:val="18"/>
        </w:rPr>
        <w:t>crm/immcantation_compare.py</w:t>
      </w:r>
      <w:r>
        <w:rPr>
          <w:b w:val="0"/>
          <w:i w:val="0"/>
          <w:sz w:val="20"/>
        </w:rPr>
        <w:t xml:space="preserve"> and </w:t>
      </w:r>
      <w:r>
        <w:rPr>
          <w:rFonts w:ascii="Courier New" w:hAnsi="Courier New"/>
          <w:sz w:val="18"/>
        </w:rPr>
        <w:t>crm/figs/figS12_immcantation.py</w:t>
      </w:r>
      <w:r>
        <w:rPr>
          <w:b w:val="0"/>
          <w:i w:val="0"/>
          <w:sz w:val="20"/>
        </w:rPr>
        <w:t>.</w:t>
      </w:r>
    </w:p>
    <w:p>
      <w:pPr>
        <w:keepNext w:val="0"/>
        <w:pageBreakBefore/>
        <w:jc w:val="center"/>
      </w:pPr>
      <w:r>
        <w:drawing>
          <wp:inline xmlns:a="http://schemas.openxmlformats.org/drawingml/2006/main" xmlns:pic="http://schemas.openxmlformats.org/drawingml/2006/picture">
            <wp:extent cx="6264000" cy="3959580"/>
            <wp:docPr id="24" name="Picture 24"/>
            <wp:cNvGraphicFramePr>
              <a:graphicFrameLocks noChangeAspect="1"/>
            </wp:cNvGraphicFramePr>
            <a:graphic>
              <a:graphicData uri="http://schemas.openxmlformats.org/drawingml/2006/picture">
                <pic:pic>
                  <pic:nvPicPr>
                    <pic:cNvPr id="0" name="FigureS13_sanger_matrices.png"/>
                    <pic:cNvPicPr/>
                  </pic:nvPicPr>
                  <pic:blipFill>
                    <a:blip r:embed="rId33"/>
                    <a:stretch>
                      <a:fillRect/>
                    </a:stretch>
                  </pic:blipFill>
                  <pic:spPr>
                    <a:xfrm>
                      <a:off x="0" y="0"/>
                      <a:ext cx="6264000" cy="3959580"/>
                    </a:xfrm>
                    <a:prstGeom prst="rect"/>
                  </pic:spPr>
                </pic:pic>
              </a:graphicData>
            </a:graphic>
          </wp:inline>
        </w:drawing>
      </w:r>
    </w:p>
    <w:p>
      <w:pPr>
        <w:keepNext/>
        <w:pageBreakBefore/>
        <w:jc w:val="center"/>
      </w:pPr>
      <w:r>
        <w:drawing>
          <wp:inline xmlns:a="http://schemas.openxmlformats.org/drawingml/2006/main" xmlns:pic="http://schemas.openxmlformats.org/drawingml/2006/picture">
            <wp:extent cx="6264000" cy="3711837"/>
            <wp:docPr id="25" name="Picture 25"/>
            <wp:cNvGraphicFramePr>
              <a:graphicFrameLocks noChangeAspect="1"/>
            </wp:cNvGraphicFramePr>
            <a:graphic>
              <a:graphicData uri="http://schemas.openxmlformats.org/drawingml/2006/picture">
                <pic:pic>
                  <pic:nvPicPr>
                    <pic:cNvPr id="0" name="FigureS13_sanger_window.png"/>
                    <pic:cNvPicPr/>
                  </pic:nvPicPr>
                  <pic:blipFill>
                    <a:blip r:embed="rId34"/>
                    <a:stretch>
                      <a:fillRect/>
                    </a:stretch>
                  </pic:blipFill>
                  <pic:spPr>
                    <a:xfrm>
                      <a:off x="0" y="0"/>
                      <a:ext cx="6264000" cy="3711837"/>
                    </a:xfrm>
                    <a:prstGeom prst="rect"/>
                  </pic:spPr>
                </pic:pic>
              </a:graphicData>
            </a:graphic>
          </wp:inline>
        </w:drawing>
      </w:r>
    </w:p>
    <w:p>
      <w:pPr>
        <w:spacing w:line="240" w:lineRule="auto" w:after="80"/>
        <w:jc w:val="both"/>
      </w:pPr>
      <w:bookmarkStart w:id="21" w:name="fig_S13"/>
      <w:bookmarkEnd w:id="21"/>
      <w:hyperlink w:anchor="fig_S13" w:history="1">
        <w:r>
          <w:rPr>
            <w:b/>
            <w:i w:val="0"/>
            <w:color w:val="1F5FA8"/>
            <w:sz w:val="20"/>
          </w:rPr>
          <w:t>Figure S13</w:t>
        </w:r>
      </w:hyperlink>
      <w:r>
        <w:rPr>
          <w:b/>
          <w:i w:val="0"/>
          <w:sz w:val="20"/>
        </w:rPr>
        <w:t xml:space="preserve">. Sanger re-analysis, related to </w:t>
      </w:r>
      <w:hyperlink w:anchor="fig_5" w:history="1">
        <w:r>
          <w:rPr>
            <w:b/>
            <w:i w:val="0"/>
            <w:color w:val="1F5FA8"/>
            <w:sz w:val="20"/>
          </w:rPr>
          <w:t>Figure 5</w:t>
        </w:r>
      </w:hyperlink>
      <w:r>
        <w:rPr>
          <w:b/>
          <w:i w:val="0"/>
          <w:sz w:val="20"/>
        </w:rPr>
        <w:t xml:space="preserve"> (page 1 of 2). </w:t>
      </w:r>
      <w:r>
        <w:rPr>
          <w:b w:val="0"/>
          <w:i w:val="0"/>
          <w:sz w:val="20"/>
        </w:rPr>
        <w:t>Top, per-mouse counts of distinct Sanger substitutions at Q≥20, From (rows) → To (columns), on one colour scale; the AID-null totals of one or two are descriptive only. Bottom, fraction of Wt clones with a high-quality base at each J</w:t>
      </w:r>
      <w:r>
        <w:rPr>
          <w:i w:val="0"/>
          <w:sz w:val="20"/>
          <w:vertAlign w:val="subscript"/>
        </w:rPr>
        <w:t>H</w:t>
      </w:r>
      <w:r>
        <w:rPr>
          <w:b w:val="0"/>
          <w:i w:val="0"/>
          <w:sz w:val="20"/>
        </w:rPr>
        <w:t>4 position and calls per 10</w:t>
      </w:r>
      <w:r>
        <w:rPr>
          <w:i w:val="0"/>
          <w:sz w:val="20"/>
          <w:vertAlign w:val="superscript"/>
        </w:rPr>
        <w:t>3</w:t>
      </w:r>
      <w:r>
        <w:rPr>
          <w:b w:val="0"/>
          <w:i w:val="0"/>
          <w:sz w:val="20"/>
        </w:rPr>
        <w:t xml:space="preserve"> observed bases; shading, the shared 529-bp window. Of 447 chromatograms in the eight archived sequencing orders, which cover that study’s wild-type, </w:t>
      </w:r>
      <w:r>
        <w:rPr>
          <w:i/>
          <w:sz w:val="20"/>
        </w:rPr>
        <w:t>Mkln1</w:t>
      </w:r>
      <w:r>
        <w:rPr>
          <w:b w:val="0"/>
          <w:i w:val="0"/>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pPr>
        <w:keepNext/>
        <w:pageBreakBefore/>
        <w:jc w:val="center"/>
      </w:pPr>
      <w:r>
        <w:drawing>
          <wp:inline xmlns:a="http://schemas.openxmlformats.org/drawingml/2006/main" xmlns:pic="http://schemas.openxmlformats.org/drawingml/2006/picture">
            <wp:extent cx="6264000" cy="4206482"/>
            <wp:docPr id="26" name="Picture 26"/>
            <wp:cNvGraphicFramePr>
              <a:graphicFrameLocks noChangeAspect="1"/>
            </wp:cNvGraphicFramePr>
            <a:graphic>
              <a:graphicData uri="http://schemas.openxmlformats.org/drawingml/2006/picture">
                <pic:pic>
                  <pic:nvPicPr>
                    <pic:cNvPr id="0" name="FigureS14_sanger_cohort2.png"/>
                    <pic:cNvPicPr/>
                  </pic:nvPicPr>
                  <pic:blipFill>
                    <a:blip r:embed="rId35"/>
                    <a:stretch>
                      <a:fillRect/>
                    </a:stretch>
                  </pic:blipFill>
                  <pic:spPr>
                    <a:xfrm>
                      <a:off x="0" y="0"/>
                      <a:ext cx="6264000" cy="4206482"/>
                    </a:xfrm>
                    <a:prstGeom prst="rect"/>
                  </pic:spPr>
                </pic:pic>
              </a:graphicData>
            </a:graphic>
          </wp:inline>
        </w:drawing>
      </w:r>
    </w:p>
    <w:p>
      <w:pPr>
        <w:spacing w:line="240" w:lineRule="auto" w:after="80"/>
        <w:jc w:val="both"/>
      </w:pPr>
      <w:bookmarkStart w:id="22" w:name="fig_S14"/>
      <w:bookmarkEnd w:id="22"/>
      <w:hyperlink w:anchor="fig_S14" w:history="1">
        <w:r>
          <w:rPr>
            <w:b/>
            <w:i w:val="0"/>
            <w:color w:val="1F5FA8"/>
            <w:sz w:val="20"/>
          </w:rPr>
          <w:t>Figure S14</w:t>
        </w:r>
      </w:hyperlink>
      <w:r>
        <w:rPr>
          <w:b/>
          <w:i w:val="0"/>
          <w:sz w:val="20"/>
        </w:rPr>
        <w:t xml:space="preserve">. Reanalysis of published Maea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four wild-type (blue), four </w:t>
      </w:r>
      <w:r>
        <w:rPr>
          <w:i/>
          <w:sz w:val="20"/>
        </w:rPr>
        <w:t>Maea</w:t>
      </w:r>
      <w:r>
        <w:rPr>
          <w:i w:val="0"/>
          <w:sz w:val="20"/>
          <w:vertAlign w:val="superscript"/>
        </w:rPr>
        <w:t>fl/fl</w:t>
      </w:r>
      <w:r>
        <w:rPr>
          <w:i/>
          <w:sz w:val="20"/>
        </w:rPr>
        <w:t>Mb1</w:t>
      </w:r>
      <w:r>
        <w:rPr>
          <w:i w:val="0"/>
          <w:sz w:val="20"/>
          <w:vertAlign w:val="superscript"/>
        </w:rPr>
        <w:t>cre</w:t>
      </w:r>
      <w:r>
        <w:rPr>
          <w:b w:val="0"/>
          <w:i w:val="0"/>
          <w:sz w:val="20"/>
        </w:rPr>
        <w:t xml:space="preserve"> (purple) and </w:t>
      </w:r>
      <w:r>
        <w:rPr>
          <w:i/>
          <w:sz w:val="20"/>
        </w:rPr>
        <w:t>Aicda</w:t>
      </w:r>
      <w:r>
        <w:rPr>
          <w:i w:val="0"/>
          <w:sz w:val="20"/>
          <w:vertAlign w:val="superscript"/>
        </w:rPr>
        <w:t>−/−</w:t>
      </w:r>
      <w:r>
        <w:rPr>
          <w:b w:val="0"/>
          <w:i w:val="0"/>
          <w:sz w:val="20"/>
        </w:rPr>
        <w:t xml:space="preserve"> (red) mice</w:t>
      </w:r>
      <w:hyperlink w:anchor="ref_33" w:history="1">
        <w:r>
          <w:rPr>
            <w:i w:val="0"/>
            <w:color w:val="1F5FA8"/>
            <w:sz w:val="20"/>
            <w:vertAlign w:val="superscript"/>
          </w:rPr>
          <w:t>33</w:t>
        </w:r>
      </w:hyperlink>
      <w:r>
        <w:rPr>
          <w:b w:val="0"/>
          <w:i w:val="0"/>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i w:val="0"/>
          <w:sz w:val="20"/>
          <w:vertAlign w:val="superscript"/>
        </w:rPr>
        <w:t>−/−</w:t>
      </w:r>
      <w:r>
        <w:rPr>
          <w:b w:val="0"/>
          <w:i w:val="0"/>
          <w:sz w:val="20"/>
        </w:rPr>
        <w:t xml:space="preserve"> mice; four are filed in the original project and are all analyzed here </w:t>
      </w:r>
      <w:r>
        <w:rPr>
          <w:b w:val="0"/>
          <w:i w:val="0"/>
          <w:sz w:val="20"/>
        </w:rPr>
        <w:t>(</w:t>
      </w:r>
      <w:r>
        <w:rPr>
          <w:b/>
          <w:i w:val="0"/>
          <w:sz w:val="20"/>
        </w:rPr>
        <w:t>F</w:t>
      </w:r>
      <w:r>
        <w:rPr>
          <w:b w:val="0"/>
          <w:i w:val="0"/>
          <w:sz w:val="20"/>
        </w:rPr>
        <w:t>)</w:t>
      </w:r>
      <w:r>
        <w:rPr>
          <w:b w:val="0"/>
          <w:i w:val="0"/>
          <w:sz w:val="20"/>
        </w:rPr>
        <w:t xml:space="preserve">. </w:t>
      </w:r>
      <w:r>
        <w:rPr>
          <w:b w:val="0"/>
          <w:i w:val="0"/>
          <w:sz w:val="20"/>
        </w:rPr>
        <w:t>(</w:t>
      </w:r>
      <w:r>
        <w:rPr>
          <w:b/>
          <w:i w:val="0"/>
          <w:sz w:val="20"/>
        </w:rPr>
        <w:t>A</w:t>
      </w:r>
      <w:r>
        <w:rPr>
          <w:b w:val="0"/>
          <w:i w:val="0"/>
          <w:sz w:val="20"/>
        </w:rPr>
        <w:t>)</w:t>
      </w:r>
      <w:r>
        <w:rPr>
          <w:b w:val="0"/>
          <w:i w:val="0"/>
          <w:sz w:val="20"/>
        </w:rPr>
        <w:t xml:space="preserve"> Mutations per 10</w:t>
      </w:r>
      <w:r>
        <w:rPr>
          <w:i w:val="0"/>
          <w:sz w:val="20"/>
          <w:vertAlign w:val="superscript"/>
        </w:rPr>
        <w:t>4</w:t>
      </w:r>
      <w:r>
        <w:rPr>
          <w:b w:val="0"/>
          <w:i w:val="0"/>
          <w:sz w:val="20"/>
        </w:rPr>
        <w:t xml:space="preserve"> bp in each mouse; lines, means. </w:t>
      </w:r>
      <w:r>
        <w:rPr>
          <w:b w:val="0"/>
          <w:i w:val="0"/>
          <w:sz w:val="20"/>
        </w:rPr>
        <w:t>(</w:t>
      </w:r>
      <w:r>
        <w:rPr>
          <w:b/>
          <w:i w:val="0"/>
          <w:sz w:val="20"/>
        </w:rPr>
        <w:t>B</w:t>
      </w:r>
      <w:r>
        <w:rPr>
          <w:b w:val="0"/>
          <w:i w:val="0"/>
          <w:sz w:val="20"/>
        </w:rPr>
        <w:t>)</w:t>
      </w:r>
      <w:r>
        <w:rPr>
          <w:b w:val="0"/>
          <w:i w:val="0"/>
          <w:sz w:val="20"/>
        </w:rPr>
        <w:t xml:space="preserve"> The same per mouse, SHMtrace against published; dashed line, identity. </w:t>
      </w:r>
      <w:r>
        <w:rPr>
          <w:b w:val="0"/>
          <w:i w:val="0"/>
          <w:sz w:val="20"/>
        </w:rPr>
        <w:t>(</w:t>
      </w:r>
      <w:r>
        <w:rPr>
          <w:b/>
          <w:i w:val="0"/>
          <w:sz w:val="20"/>
        </w:rPr>
        <w:t>C</w:t>
      </w:r>
      <w:r>
        <w:rPr>
          <w:b w:val="0"/>
          <w:i w:val="0"/>
          <w:sz w:val="20"/>
        </w:rPr>
        <w:t>)</w:t>
      </w:r>
      <w:r>
        <w:rPr>
          <w:b w:val="0"/>
          <w:i w:val="0"/>
          <w:sz w:val="20"/>
        </w:rPr>
        <w:t xml:space="preserve"> Clones by mutations per clone, pooled by genotype, binned as published; the published bins come from the Fig. 2g Source Data, which count 96 and 183 clones, whereas the per-mouse tables behind </w:t>
      </w:r>
      <w:hyperlink w:anchor="tab_S4" w:history="1">
        <w:r>
          <w:rPr>
            <w:b/>
            <w:i w:val="0"/>
            <w:color w:val="1F5FA8"/>
            <w:sz w:val="20"/>
          </w:rPr>
          <w:t>Table S4</w:t>
        </w:r>
      </w:hyperlink>
      <w:r>
        <w:rPr>
          <w:b w:val="0"/>
          <w:i w:val="0"/>
          <w:sz w:val="20"/>
        </w:rPr>
        <w:t xml:space="preserve"> count 97 and 187. </w:t>
      </w:r>
      <w:r>
        <w:rPr>
          <w:b w:val="0"/>
          <w:i w:val="0"/>
          <w:sz w:val="20"/>
        </w:rPr>
        <w:t>(</w:t>
      </w:r>
      <w:r>
        <w:rPr>
          <w:b/>
          <w:i w:val="0"/>
          <w:sz w:val="20"/>
        </w:rPr>
        <w:t>D</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E</w:t>
      </w:r>
      <w:r>
        <w:rPr>
          <w:b w:val="0"/>
          <w:i w:val="0"/>
          <w:sz w:val="20"/>
        </w:rPr>
        <w:t>)</w:t>
      </w:r>
      <w:r>
        <w:rPr>
          <w:b w:val="0"/>
          <w:i w:val="0"/>
          <w:sz w:val="20"/>
        </w:rPr>
        <w:t xml:space="preserve"> Pooled 12-type substitution spectra, SHMtrace against published. </w:t>
      </w:r>
      <w:r>
        <w:rPr>
          <w:b w:val="0"/>
          <w:i w:val="0"/>
          <w:sz w:val="20"/>
        </w:rPr>
        <w:t>(</w:t>
      </w:r>
      <w:r>
        <w:rPr>
          <w:b/>
          <w:i w:val="0"/>
          <w:sz w:val="20"/>
        </w:rPr>
        <w:t>F</w:t>
      </w:r>
      <w:r>
        <w:rPr>
          <w:b w:val="0"/>
          <w:i w:val="0"/>
          <w:sz w:val="20"/>
        </w:rPr>
        <w:t>)</w:t>
      </w:r>
      <w:r>
        <w:rPr>
          <w:b w:val="0"/>
          <w:i w:val="0"/>
          <w:sz w:val="20"/>
        </w:rPr>
        <w:t xml:space="preserve"> The published comparisons and SHMtrace's, with the one-tailed t-test used in the original study; "background explains" is the share of each group's calls that the </w:t>
      </w:r>
      <w:r>
        <w:rPr>
          <w:i/>
          <w:sz w:val="20"/>
        </w:rPr>
        <w:t>Aicda</w:t>
      </w:r>
      <w:r>
        <w:rPr>
          <w:i w:val="0"/>
          <w:sz w:val="20"/>
          <w:vertAlign w:val="superscript"/>
        </w:rPr>
        <w:t>−/−</w:t>
      </w:r>
      <w:r>
        <w:rPr>
          <w:b w:val="0"/>
          <w:i w:val="0"/>
          <w:sz w:val="20"/>
        </w:rPr>
        <w:t xml:space="preserve"> clones' own error rate accounts for (STAR Methods), and the analysis time is for the whole project from one sample sheet, once that sheet had been built.</w:t>
      </w:r>
    </w:p>
    <w:p>
      <w:pPr>
        <w:keepNext/>
        <w:pageBreakBefore/>
        <w:jc w:val="center"/>
      </w:pPr>
      <w:r>
        <w:drawing>
          <wp:inline xmlns:a="http://schemas.openxmlformats.org/drawingml/2006/main" xmlns:pic="http://schemas.openxmlformats.org/drawingml/2006/picture">
            <wp:extent cx="6264000" cy="2617163"/>
            <wp:docPr id="27" name="Picture 27"/>
            <wp:cNvGraphicFramePr>
              <a:graphicFrameLocks noChangeAspect="1"/>
            </wp:cNvGraphicFramePr>
            <a:graphic>
              <a:graphicData uri="http://schemas.openxmlformats.org/drawingml/2006/picture">
                <pic:pic>
                  <pic:nvPicPr>
                    <pic:cNvPr id="0" name="FigureS15_sanger_mkln.png"/>
                    <pic:cNvPicPr/>
                  </pic:nvPicPr>
                  <pic:blipFill>
                    <a:blip r:embed="rId36"/>
                    <a:stretch>
                      <a:fillRect/>
                    </a:stretch>
                  </pic:blipFill>
                  <pic:spPr>
                    <a:xfrm>
                      <a:off x="0" y="0"/>
                      <a:ext cx="6264000" cy="2617163"/>
                    </a:xfrm>
                    <a:prstGeom prst="rect"/>
                  </pic:spPr>
                </pic:pic>
              </a:graphicData>
            </a:graphic>
          </wp:inline>
        </w:drawing>
      </w:r>
    </w:p>
    <w:p>
      <w:pPr>
        <w:spacing w:line="240" w:lineRule="auto" w:after="80"/>
        <w:jc w:val="both"/>
      </w:pPr>
      <w:bookmarkStart w:id="23" w:name="fig_S15"/>
      <w:bookmarkEnd w:id="23"/>
      <w:hyperlink w:anchor="fig_S15" w:history="1">
        <w:r>
          <w:rPr>
            <w:b/>
            <w:i w:val="0"/>
            <w:color w:val="1F5FA8"/>
            <w:sz w:val="20"/>
          </w:rPr>
          <w:t>Figure S15</w:t>
        </w:r>
      </w:hyperlink>
      <w:r>
        <w:rPr>
          <w:b/>
          <w:i w:val="0"/>
          <w:sz w:val="20"/>
        </w:rPr>
        <w:t xml:space="preserve">. Reanalysis of published </w:t>
      </w:r>
      <w:r>
        <w:rPr>
          <w:b/>
          <w:i/>
          <w:sz w:val="20"/>
        </w:rPr>
        <w:t>Mkln1</w:t>
      </w:r>
      <w:r>
        <w:rPr>
          <w:b/>
          <w:i w:val="0"/>
          <w:sz w:val="20"/>
        </w:rPr>
        <w:t xml:space="preserve"> Sanger data, related to </w:t>
      </w:r>
      <w:hyperlink w:anchor="fig_5" w:history="1">
        <w:r>
          <w:rPr>
            <w:b/>
            <w:i w:val="0"/>
            <w:color w:val="1F5FA8"/>
            <w:sz w:val="20"/>
          </w:rPr>
          <w:t>Figure 5</w:t>
        </w:r>
      </w:hyperlink>
      <w:r>
        <w:rPr>
          <w:b/>
          <w:i w:val="0"/>
          <w:sz w:val="20"/>
        </w:rPr>
        <w:t xml:space="preserve">. </w:t>
      </w:r>
      <w:r>
        <w:rPr>
          <w:b w:val="0"/>
          <w:i w:val="0"/>
          <w:sz w:val="20"/>
        </w:rPr>
        <w:t>J</w:t>
      </w:r>
      <w:r>
        <w:rPr>
          <w:i w:val="0"/>
          <w:sz w:val="20"/>
          <w:vertAlign w:val="subscript"/>
        </w:rPr>
        <w:t>H</w:t>
      </w:r>
      <w:r>
        <w:rPr>
          <w:b w:val="0"/>
          <w:i w:val="0"/>
          <w:sz w:val="20"/>
        </w:rPr>
        <w:t xml:space="preserve">4 clones of germinal-center B cells from three wild-type (blue), three </w:t>
      </w:r>
      <w:r>
        <w:rPr>
          <w:i/>
          <w:sz w:val="20"/>
        </w:rPr>
        <w:t>Mkln1</w:t>
      </w:r>
      <w:r>
        <w:rPr>
          <w:i w:val="0"/>
          <w:sz w:val="20"/>
          <w:vertAlign w:val="superscript"/>
        </w:rPr>
        <w:t>−/−</w:t>
      </w:r>
      <w:r>
        <w:rPr>
          <w:b w:val="0"/>
          <w:i w:val="0"/>
          <w:sz w:val="20"/>
        </w:rPr>
        <w:t xml:space="preserve"> (purple) and three </w:t>
      </w:r>
      <w:r>
        <w:rPr>
          <w:i/>
          <w:sz w:val="20"/>
        </w:rPr>
        <w:t>Aicda</w:t>
      </w:r>
      <w:r>
        <w:rPr>
          <w:i w:val="0"/>
          <w:sz w:val="20"/>
          <w:vertAlign w:val="superscript"/>
        </w:rPr>
        <w:t>−/−</w:t>
      </w:r>
      <w:r>
        <w:rPr>
          <w:b w:val="0"/>
          <w:i w:val="0"/>
          <w:sz w:val="20"/>
        </w:rPr>
        <w:t xml:space="preserve"> (red) mice</w:t>
      </w:r>
      <w:hyperlink w:anchor="ref_34" w:history="1">
        <w:r>
          <w:rPr>
            <w:i w:val="0"/>
            <w:color w:val="1F5FA8"/>
            <w:sz w:val="20"/>
            <w:vertAlign w:val="superscript"/>
          </w:rPr>
          <w:t>34</w:t>
        </w:r>
      </w:hyperlink>
      <w:r>
        <w:rPr>
          <w:b w:val="0"/>
          <w:i w:val="0"/>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i w:val="0"/>
            <w:color w:val="1F5FA8"/>
            <w:sz w:val="20"/>
          </w:rPr>
          <w:t>Figure S2A</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Unique mutations per 10</w:t>
      </w:r>
      <w:r>
        <w:rPr>
          <w:i w:val="0"/>
          <w:sz w:val="20"/>
          <w:vertAlign w:val="superscript"/>
        </w:rPr>
        <w:t>4</w:t>
      </w:r>
      <w:r>
        <w:rPr>
          <w:b w:val="0"/>
          <w:i w:val="0"/>
          <w:sz w:val="20"/>
        </w:rPr>
        <w:t xml:space="preserve"> bases sequenced, per mouse; lines, means. </w:t>
      </w:r>
      <w:r>
        <w:rPr>
          <w:b w:val="0"/>
          <w:i w:val="0"/>
          <w:sz w:val="20"/>
        </w:rPr>
        <w:t>(</w:t>
      </w:r>
      <w:r>
        <w:rPr>
          <w:b/>
          <w:i w:val="0"/>
          <w:sz w:val="20"/>
        </w:rPr>
        <w:t>B</w:t>
      </w:r>
      <w:r>
        <w:rPr>
          <w:b w:val="0"/>
          <w:i w:val="0"/>
          <w:sz w:val="20"/>
        </w:rPr>
        <w:t>)</w:t>
      </w:r>
      <w:r>
        <w:rPr>
          <w:b w:val="0"/>
          <w:i w:val="0"/>
          <w:sz w:val="20"/>
        </w:rPr>
        <w:t xml:space="preserve"> G:C transitions and transversions as a share of each mouse's mutations. </w:t>
      </w:r>
      <w:r>
        <w:rPr>
          <w:b w:val="0"/>
          <w:i w:val="0"/>
          <w:sz w:val="20"/>
        </w:rPr>
        <w:t>(</w:t>
      </w:r>
      <w:r>
        <w:rPr>
          <w:b/>
          <w:i w:val="0"/>
          <w:sz w:val="20"/>
        </w:rPr>
        <w:t>C</w:t>
      </w:r>
      <w:r>
        <w:rPr>
          <w:b w:val="0"/>
          <w:i w:val="0"/>
          <w:sz w:val="20"/>
        </w:rPr>
        <w:t>)</w:t>
      </w:r>
      <w:r>
        <w:rPr>
          <w:b w:val="0"/>
          <w:i w:val="0"/>
          <w:sz w:val="20"/>
        </w:rPr>
        <w:t xml:space="preserve"> Pooled 12-type substitution spectra, SHMtrace against published, with r for each genotype. Of the three published </w:t>
      </w:r>
      <w:r>
        <w:rPr>
          <w:i/>
          <w:sz w:val="20"/>
        </w:rPr>
        <w:t>Mkln1</w:t>
      </w:r>
      <w:r>
        <w:rPr>
          <w:i w:val="0"/>
          <w:sz w:val="20"/>
          <w:vertAlign w:val="superscript"/>
        </w:rPr>
        <w:t>−/−</w:t>
      </w:r>
      <w:r>
        <w:rPr>
          <w:b w:val="0"/>
          <w:i w:val="0"/>
          <w:sz w:val="20"/>
        </w:rPr>
        <w:t xml:space="preserve"> tables, only mouse #1's spectrum matches the clones of a folder (K2); tables #2 and #3 match no folder or set of clones in the original project, which limits the knockout's agreement. </w:t>
      </w:r>
      <w:r>
        <w:rPr>
          <w:b w:val="0"/>
          <w:i w:val="0"/>
          <w:sz w:val="20"/>
        </w:rPr>
        <w:t>(</w:t>
      </w:r>
      <w:r>
        <w:rPr>
          <w:b/>
          <w:i w:val="0"/>
          <w:sz w:val="20"/>
        </w:rPr>
        <w:t>D</w:t>
      </w:r>
      <w:r>
        <w:rPr>
          <w:b w:val="0"/>
          <w:i w:val="0"/>
          <w:sz w:val="20"/>
        </w:rPr>
        <w:t>)</w:t>
      </w:r>
      <w:r>
        <w:rPr>
          <w:b w:val="0"/>
          <w:i w:val="0"/>
          <w:sz w:val="20"/>
        </w:rPr>
        <w:t xml:space="preserve"> The comparisons, published and SHMtrace's; the published P values are computed from the per-mouse tables as printed, and the values the paper's summary bars report (Supplementary </w:t>
      </w:r>
      <w:hyperlink w:anchor="fig_S2" w:history="1">
        <w:r>
          <w:rPr>
            <w:b/>
            <w:i w:val="0"/>
            <w:color w:val="1F5FA8"/>
            <w:sz w:val="20"/>
          </w:rPr>
          <w:t>Figure S2C</w:t>
        </w:r>
      </w:hyperlink>
      <w:r>
        <w:rPr>
          <w:b w:val="0"/>
          <w:i w:val="0"/>
          <w:sz w:val="20"/>
        </w:rPr>
        <w:t>) are listed separately. Paralog clones are J</w:t>
      </w:r>
      <w:r>
        <w:rPr>
          <w:i w:val="0"/>
          <w:sz w:val="20"/>
          <w:vertAlign w:val="subscript"/>
        </w:rPr>
        <w:t>H</w:t>
      </w:r>
      <w:r>
        <w:rPr>
          <w:b w:val="0"/>
          <w:i w:val="0"/>
          <w:sz w:val="20"/>
        </w:rPr>
        <w:t>4-paralog amplicons, which SHMtrace analyzes apart from J</w:t>
      </w:r>
      <w:r>
        <w:rPr>
          <w:i w:val="0"/>
          <w:sz w:val="20"/>
          <w:vertAlign w:val="subscript"/>
        </w:rPr>
        <w:t>H</w:t>
      </w:r>
      <w:r>
        <w:rPr>
          <w:b w:val="0"/>
          <w:i w:val="0"/>
          <w:sz w:val="20"/>
        </w:rPr>
        <w:t xml:space="preserve">4; "background explains" is as in </w:t>
      </w:r>
      <w:hyperlink w:anchor="fig_S14" w:history="1">
        <w:r>
          <w:rPr>
            <w:b/>
            <w:i w:val="0"/>
            <w:color w:val="1F5FA8"/>
            <w:sz w:val="20"/>
          </w:rPr>
          <w:t>Figure S14</w:t>
        </w:r>
      </w:hyperlink>
      <w:r>
        <w:rPr>
          <w:b w:val="0"/>
          <w:i w:val="0"/>
          <w:sz w:val="20"/>
        </w:rPr>
        <w:t>.</w:t>
      </w:r>
    </w:p>
    <w:p>
      <w:pPr>
        <w:keepNext/>
        <w:pageBreakBefore/>
        <w:jc w:val="center"/>
      </w:pPr>
      <w:r>
        <w:drawing>
          <wp:inline xmlns:a="http://schemas.openxmlformats.org/drawingml/2006/main" xmlns:pic="http://schemas.openxmlformats.org/drawingml/2006/picture">
            <wp:extent cx="6264000" cy="2362945"/>
            <wp:docPr id="28" name="Picture 28"/>
            <wp:cNvGraphicFramePr>
              <a:graphicFrameLocks noChangeAspect="1"/>
            </wp:cNvGraphicFramePr>
            <a:graphic>
              <a:graphicData uri="http://schemas.openxmlformats.org/drawingml/2006/picture">
                <pic:pic>
                  <pic:nvPicPr>
                    <pic:cNvPr id="0" name="FigureS16_swhel.png"/>
                    <pic:cNvPicPr/>
                  </pic:nvPicPr>
                  <pic:blipFill>
                    <a:blip r:embed="rId37"/>
                    <a:stretch>
                      <a:fillRect/>
                    </a:stretch>
                  </pic:blipFill>
                  <pic:spPr>
                    <a:xfrm>
                      <a:off x="0" y="0"/>
                      <a:ext cx="6264000" cy="2362945"/>
                    </a:xfrm>
                    <a:prstGeom prst="rect"/>
                  </pic:spPr>
                </pic:pic>
              </a:graphicData>
            </a:graphic>
          </wp:inline>
        </w:drawing>
      </w:r>
    </w:p>
    <w:p>
      <w:pPr>
        <w:spacing w:line="240" w:lineRule="auto" w:after="80"/>
        <w:jc w:val="both"/>
      </w:pPr>
      <w:bookmarkStart w:id="24" w:name="fig_S16"/>
      <w:bookmarkEnd w:id="24"/>
      <w:hyperlink w:anchor="fig_S16" w:history="1">
        <w:r>
          <w:rPr>
            <w:b/>
            <w:i w:val="0"/>
            <w:color w:val="1F5FA8"/>
            <w:sz w:val="20"/>
          </w:rPr>
          <w:t>Figure S16</w:t>
        </w:r>
      </w:hyperlink>
      <w:r>
        <w:rPr>
          <w:b/>
          <w:i w:val="0"/>
          <w:sz w:val="20"/>
        </w:rPr>
        <w:t>. Reanalysis of published SW</w:t>
      </w:r>
      <w:r>
        <w:rPr>
          <w:b/>
          <w:i w:val="0"/>
          <w:sz w:val="20"/>
          <w:vertAlign w:val="subscript"/>
        </w:rPr>
        <w:t>HEL</w:t>
      </w:r>
      <w:r>
        <w:rPr>
          <w:b/>
          <w:i w:val="0"/>
          <w:sz w:val="20"/>
        </w:rPr>
        <w:t xml:space="preserve"> Sanger sequences, related to </w:t>
      </w:r>
      <w:hyperlink w:anchor="fig_5" w:history="1">
        <w:r>
          <w:rPr>
            <w:b/>
            <w:i w:val="0"/>
            <w:color w:val="1F5FA8"/>
            <w:sz w:val="20"/>
          </w:rPr>
          <w:t>Figure 5</w:t>
        </w:r>
      </w:hyperlink>
      <w:r>
        <w:rPr>
          <w:b/>
          <w:i w:val="0"/>
          <w:sz w:val="20"/>
        </w:rPr>
        <w:t xml:space="preserve">. </w:t>
      </w:r>
      <w:r>
        <w:rPr>
          <w:b w:val="0"/>
          <w:i w:val="0"/>
          <w:sz w:val="20"/>
        </w:rPr>
        <w:t>The 1,795 Sanger clones of Thientosapol et al. (2018), who hypermutated a SW</w:t>
      </w:r>
      <w:r>
        <w:rPr>
          <w:i w:val="0"/>
          <w:sz w:val="20"/>
          <w:vertAlign w:val="subscript"/>
        </w:rPr>
        <w:t>HEL</w:t>
      </w:r>
      <w:r>
        <w:rPr>
          <w:b w:val="0"/>
          <w:i w:val="0"/>
          <w:sz w:val="20"/>
        </w:rPr>
        <w:t xml:space="preserve"> V</w:t>
      </w:r>
      <w:r>
        <w:rPr>
          <w:i w:val="0"/>
          <w:sz w:val="20"/>
          <w:vertAlign w:val="subscript"/>
        </w:rPr>
        <w:t>H</w:t>
      </w:r>
      <w:r>
        <w:rPr>
          <w:b w:val="0"/>
          <w:i w:val="0"/>
          <w:sz w:val="20"/>
        </w:rPr>
        <w:t xml:space="preserve">10 knock-in V region in germinal-center B cells and reported that inactivating </w:t>
      </w:r>
      <w:r>
        <w:rPr>
          <w:i/>
          <w:sz w:val="20"/>
        </w:rPr>
        <w:t>Samhd1</w:t>
      </w:r>
      <w:r>
        <w:rPr>
          <w:b w:val="0"/>
          <w:i w:val="0"/>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val="0"/>
          <w:i w:val="0"/>
          <w:sz w:val="20"/>
        </w:rPr>
        <w:t>(</w:t>
      </w:r>
      <w:r>
        <w:rPr>
          <w:b/>
          <w:i w:val="0"/>
          <w:sz w:val="20"/>
        </w:rPr>
        <w:t>A</w:t>
      </w:r>
      <w:r>
        <w:rPr>
          <w:b w:val="0"/>
          <w:i w:val="0"/>
          <w:sz w:val="20"/>
        </w:rPr>
        <w:t>)</w:t>
      </w:r>
      <w:r>
        <w:rPr>
          <w:b w:val="0"/>
          <w:i w:val="0"/>
          <w:sz w:val="20"/>
        </w:rPr>
        <w:t xml:space="preserve"> Mutations per sequence in each arm, SHMtrace against the paper's </w:t>
      </w:r>
      <w:r>
        <w:rPr>
          <w:b/>
          <w:i w:val="0"/>
          <w:sz w:val="20"/>
        </w:rPr>
        <w:t>Table 1</w:t>
      </w:r>
      <w:r>
        <w:rPr>
          <w:b w:val="0"/>
          <w:i w:val="0"/>
          <w:sz w:val="20"/>
        </w:rPr>
        <w:t xml:space="preserve">. </w:t>
      </w:r>
      <w:r>
        <w:rPr>
          <w:b w:val="0"/>
          <w:i w:val="0"/>
          <w:sz w:val="20"/>
        </w:rPr>
        <w:t>(</w:t>
      </w:r>
      <w:r>
        <w:rPr>
          <w:b/>
          <w:i w:val="0"/>
          <w:sz w:val="20"/>
        </w:rPr>
        <w:t>B</w:t>
      </w:r>
      <w:r>
        <w:rPr>
          <w:b w:val="0"/>
          <w:i w:val="0"/>
          <w:sz w:val="20"/>
        </w:rPr>
        <w:t>)</w:t>
      </w:r>
      <w:r>
        <w:rPr>
          <w:b w:val="0"/>
          <w:i w:val="0"/>
          <w:sz w:val="20"/>
        </w:rPr>
        <w:t xml:space="preserve"> The 12 substitution types in each of the five arms, as a share of that arm's mutations. </w:t>
      </w:r>
      <w:r>
        <w:rPr>
          <w:b w:val="0"/>
          <w:i w:val="0"/>
          <w:sz w:val="20"/>
        </w:rPr>
        <w:t>(</w:t>
      </w:r>
      <w:r>
        <w:rPr>
          <w:b/>
          <w:i w:val="0"/>
          <w:sz w:val="20"/>
        </w:rPr>
        <w:t>C</w:t>
      </w:r>
      <w:r>
        <w:rPr>
          <w:b w:val="0"/>
          <w:i w:val="0"/>
          <w:sz w:val="20"/>
        </w:rPr>
        <w:t>)</w:t>
      </w:r>
      <w:r>
        <w:rPr>
          <w:b w:val="0"/>
          <w:i w:val="0"/>
          <w:sz w:val="20"/>
        </w:rPr>
        <w:t xml:space="preserve"> The four classes the paper tests, one point per animal for SHMtrace and the published value as an open square; stars, two-tailed t-test across animals. </w:t>
      </w:r>
      <w:r>
        <w:rPr>
          <w:b w:val="0"/>
          <w:i w:val="0"/>
          <w:sz w:val="20"/>
        </w:rPr>
        <w:t>(</w:t>
      </w:r>
      <w:r>
        <w:rPr>
          <w:b/>
          <w:i w:val="0"/>
          <w:sz w:val="20"/>
        </w:rPr>
        <w:t>D</w:t>
      </w:r>
      <w:r>
        <w:rPr>
          <w:b w:val="0"/>
          <w:i w:val="0"/>
          <w:sz w:val="20"/>
        </w:rPr>
        <w:t>)</w:t>
      </w:r>
      <w:r>
        <w:rPr>
          <w:b w:val="0"/>
          <w:i w:val="0"/>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4" w:history="1">
        <w:r>
          <w:rPr>
            <w:b/>
            <w:i w:val="0"/>
            <w:color w:val="1F5FA8"/>
            <w:sz w:val="20"/>
          </w:rPr>
          <w:t>Figures S14</w:t>
        </w:r>
      </w:hyperlink>
      <w:r>
        <w:rPr>
          <w:b/>
          <w:i w:val="0"/>
          <w:sz w:val="20"/>
        </w:rPr>
        <w:t xml:space="preserve"> and </w:t>
      </w:r>
      <w:hyperlink w:anchor="fig_S15" w:history="1">
        <w:r>
          <w:rPr>
            <w:b/>
            <w:i w:val="0"/>
            <w:color w:val="1F5FA8"/>
            <w:sz w:val="20"/>
          </w:rPr>
          <w:t>S15</w:t>
        </w:r>
      </w:hyperlink>
      <w:r>
        <w:rPr>
          <w:b w:val="0"/>
          <w:i w:val="0"/>
          <w:sz w:val="20"/>
        </w:rPr>
        <w:t xml:space="preserve"> this study deposits sequences rather than chromatograms, so the chromatogram reading and the bookkeeping checks are not exercised; it has no </w:t>
      </w:r>
      <w:r>
        <w:rPr>
          <w:i/>
          <w:sz w:val="20"/>
        </w:rPr>
        <w:t>Aicda</w:t>
      </w:r>
      <w:r>
        <w:rPr>
          <w:i w:val="0"/>
          <w:sz w:val="20"/>
          <w:vertAlign w:val="superscript"/>
        </w:rPr>
        <w:t>−/−</w:t>
      </w:r>
      <w:r>
        <w:rPr>
          <w:b w:val="0"/>
          <w:i w:val="0"/>
          <w:sz w:val="20"/>
        </w:rPr>
        <w:t xml:space="preserve"> arm, so the Sanger error rate has to be carried over from the AID-null clones of those two studies (about 20 in 10</w:t>
      </w:r>
      <w:r>
        <w:rPr>
          <w:i w:val="0"/>
          <w:sz w:val="20"/>
          <w:vertAlign w:val="superscript"/>
        </w:rPr>
        <w:t>5</w:t>
      </w:r>
      <w:r>
        <w:rPr>
          <w:b w:val="0"/>
          <w:i w:val="0"/>
          <w:sz w:val="20"/>
        </w:rPr>
        <w:t xml:space="preserve"> bases at Q ≥ 20 in each), roughly 10-fold below the mutation frequency measured here.</w:t>
      </w:r>
    </w:p>
    <w:p>
      <w:pPr>
        <w:keepNext/>
        <w:pageBreakBefore/>
        <w:jc w:val="center"/>
      </w:pPr>
      <w:r>
        <w:drawing>
          <wp:inline xmlns:a="http://schemas.openxmlformats.org/drawingml/2006/main" xmlns:pic="http://schemas.openxmlformats.org/drawingml/2006/picture">
            <wp:extent cx="6264000" cy="2664105"/>
            <wp:docPr id="29" name="Picture 29"/>
            <wp:cNvGraphicFramePr>
              <a:graphicFrameLocks noChangeAspect="1"/>
            </wp:cNvGraphicFramePr>
            <a:graphic>
              <a:graphicData uri="http://schemas.openxmlformats.org/drawingml/2006/picture">
                <pic:pic>
                  <pic:nvPicPr>
                    <pic:cNvPr id="0" name="FigureS17_spectra_full_length.png"/>
                    <pic:cNvPicPr/>
                  </pic:nvPicPr>
                  <pic:blipFill>
                    <a:blip r:embed="rId38"/>
                    <a:stretch>
                      <a:fillRect/>
                    </a:stretch>
                  </pic:blipFill>
                  <pic:spPr>
                    <a:xfrm>
                      <a:off x="0" y="0"/>
                      <a:ext cx="6264000" cy="2664105"/>
                    </a:xfrm>
                    <a:prstGeom prst="rect"/>
                  </pic:spPr>
                </pic:pic>
              </a:graphicData>
            </a:graphic>
          </wp:inline>
        </w:drawing>
      </w:r>
    </w:p>
    <w:p>
      <w:pPr>
        <w:spacing w:line="240" w:lineRule="auto" w:after="80"/>
        <w:jc w:val="both"/>
      </w:pPr>
      <w:bookmarkStart w:id="25" w:name="fig_S17"/>
      <w:bookmarkEnd w:id="25"/>
      <w:hyperlink w:anchor="fig_S17" w:history="1">
        <w:r>
          <w:rPr>
            <w:b/>
            <w:i w:val="0"/>
            <w:color w:val="1F5FA8"/>
            <w:sz w:val="20"/>
          </w:rPr>
          <w:t>Figure S17</w:t>
        </w:r>
      </w:hyperlink>
      <w:r>
        <w:rPr>
          <w:b/>
          <w:i w:val="0"/>
          <w:sz w:val="20"/>
        </w:rPr>
        <w:t xml:space="preserve">. Full-length spectra, related to </w:t>
      </w:r>
      <w:hyperlink w:anchor="fig_6" w:history="1">
        <w:r>
          <w:rPr>
            <w:b/>
            <w:i w:val="0"/>
            <w:color w:val="1F5FA8"/>
            <w:sz w:val="20"/>
          </w:rPr>
          <w:t>Figure 6</w:t>
        </w:r>
      </w:hyperlink>
      <w:r>
        <w:rPr>
          <w:b/>
          <w:i w:val="0"/>
          <w:sz w:val="20"/>
        </w:rPr>
        <w:t xml:space="preserve"> (page 1 of 2). </w:t>
      </w:r>
      <w:r>
        <w:rPr>
          <w:b w:val="0"/>
          <w:i w:val="0"/>
          <w:sz w:val="20"/>
        </w:rPr>
        <w:t>Extending the analysis from the Sanger window to the full amplicon increases the number of mutations sampled without altering the signature they carry. Pooled wild-type (</w:t>
      </w:r>
      <w:r>
        <w:rPr>
          <w:i/>
          <w:sz w:val="20"/>
        </w:rPr>
        <w:t>Wt</w:t>
      </w:r>
      <w:r>
        <w:rPr>
          <w:b w:val="0"/>
          <w:i w:val="0"/>
          <w:sz w:val="20"/>
        </w:rPr>
        <w:t xml:space="preserve">) substitution spectra across the shared 529-bp window and across the reliably covered 1,141-bp interval, with each cell giving the mutation count </w:t>
      </w:r>
      <w:r>
        <w:rPr>
          <w:b w:val="0"/>
          <w:i w:val="0"/>
          <w:sz w:val="20"/>
        </w:rPr>
        <w:t>(</w:t>
      </w:r>
      <w:r>
        <w:rPr>
          <w:b/>
          <w:i w:val="0"/>
          <w:sz w:val="20"/>
        </w:rPr>
        <w:t>A, B</w:t>
      </w:r>
      <w:r>
        <w:rPr>
          <w:b w:val="0"/>
          <w:i w:val="0"/>
          <w:sz w:val="20"/>
        </w:rPr>
        <w:t>)</w:t>
      </w:r>
      <w:r>
        <w:rPr>
          <w:b w:val="0"/>
          <w:i w:val="0"/>
          <w:sz w:val="20"/>
        </w:rPr>
        <w:t xml:space="preserve">, and the two sets of shares plotted against each other (C; Pearson r = 0.989, r² = 0.977). The window lies inside the interval, so the comparison is descriptive and not an independent validation.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 Mutation trees from the same libraries are shown on the following page.</w:t>
      </w:r>
    </w:p>
    <w:p>
      <w:pPr>
        <w:keepNext/>
        <w:pageBreakBefore/>
        <w:jc w:val="center"/>
      </w:pPr>
      <w:r>
        <w:drawing>
          <wp:inline xmlns:a="http://schemas.openxmlformats.org/drawingml/2006/main" xmlns:pic="http://schemas.openxmlformats.org/drawingml/2006/picture">
            <wp:extent cx="5832577" cy="7775999"/>
            <wp:docPr id="30" name="Picture 30"/>
            <wp:cNvGraphicFramePr>
              <a:graphicFrameLocks noChangeAspect="1"/>
            </wp:cNvGraphicFramePr>
            <a:graphic>
              <a:graphicData uri="http://schemas.openxmlformats.org/drawingml/2006/picture">
                <pic:pic>
                  <pic:nvPicPr>
                    <pic:cNvPr id="0" name="FigureS17_mutation_trees.png"/>
                    <pic:cNvPicPr/>
                  </pic:nvPicPr>
                  <pic:blipFill>
                    <a:blip r:embed="rId39"/>
                    <a:stretch>
                      <a:fillRect/>
                    </a:stretch>
                  </pic:blipFill>
                  <pic:spPr>
                    <a:xfrm>
                      <a:off x="0" y="0"/>
                      <a:ext cx="5832577" cy="7775999"/>
                    </a:xfrm>
                    <a:prstGeom prst="rect"/>
                  </pic:spPr>
                </pic:pic>
              </a:graphicData>
            </a:graphic>
          </wp:inline>
        </w:drawing>
      </w:r>
    </w:p>
    <w:p>
      <w:pPr>
        <w:spacing w:line="240" w:lineRule="auto" w:after="80"/>
        <w:jc w:val="both"/>
      </w:pPr>
      <w:hyperlink w:anchor="fig_S17" w:history="1">
        <w:r>
          <w:rPr>
            <w:b/>
            <w:i w:val="0"/>
            <w:color w:val="1F5FA8"/>
            <w:sz w:val="20"/>
          </w:rPr>
          <w:t>Figure S17</w:t>
        </w:r>
      </w:hyperlink>
      <w:r>
        <w:rPr>
          <w:b/>
          <w:i w:val="0"/>
          <w:sz w:val="20"/>
        </w:rPr>
        <w:t xml:space="preserve">. Mutation trees in each mouse, related to </w:t>
      </w:r>
      <w:hyperlink w:anchor="fig_6" w:history="1">
        <w:r>
          <w:rPr>
            <w:b/>
            <w:i w:val="0"/>
            <w:color w:val="1F5FA8"/>
            <w:sz w:val="20"/>
          </w:rPr>
          <w:t>Figure 6</w:t>
        </w:r>
      </w:hyperlink>
      <w:r>
        <w:rPr>
          <w:b/>
          <w:i w:val="0"/>
          <w:sz w:val="20"/>
        </w:rPr>
        <w:t xml:space="preserve"> (page 2 of 2). </w:t>
      </w:r>
      <w:r>
        <w:rPr>
          <w:b w:val="0"/>
          <w:i w:val="0"/>
          <w:sz w:val="20"/>
        </w:rPr>
        <w:t xml:space="preserve">The read-level reconstruction of </w:t>
      </w:r>
      <w:hyperlink w:anchor="fig_6" w:history="1">
        <w:r>
          <w:rPr>
            <w:b/>
            <w:i w:val="0"/>
            <w:color w:val="1F5FA8"/>
            <w:sz w:val="20"/>
          </w:rPr>
          <w:t>Figure 6D</w:t>
        </w:r>
      </w:hyperlink>
      <w:r>
        <w:rPr>
          <w:b w:val="0"/>
          <w:i w:val="0"/>
          <w:sz w:val="20"/>
        </w:rPr>
        <w:t>, repeated in every mouse. Each tree is the most branched clone of one wild-type (</w:t>
      </w:r>
      <w:r>
        <w:rPr>
          <w:i/>
          <w:sz w:val="20"/>
        </w:rPr>
        <w:t>Wt</w:t>
      </w:r>
      <w:r>
        <w:rPr>
          <w:b w:val="0"/>
          <w:i w:val="0"/>
          <w:sz w:val="20"/>
        </w:rPr>
        <w:t xml:space="preserve">) mouse, 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b w:val="0"/>
          <w:i w:val="0"/>
          <w:sz w:val="20"/>
        </w:rPr>
        <w:t xml:space="preserve"> mice of </w:t>
      </w:r>
      <w:hyperlink w:anchor="fig_5" w:history="1">
        <w:r>
          <w:rPr>
            <w:b/>
            <w:i w:val="0"/>
            <w:color w:val="1F5FA8"/>
            <w:sz w:val="20"/>
          </w:rPr>
          <w:t>Figure 5</w:t>
        </w:r>
      </w:hyperlink>
      <w:r>
        <w:rPr>
          <w:b w:val="0"/>
          <w:i w:val="0"/>
          <w:sz w:val="20"/>
        </w:rPr>
        <w:t>, analysed at 500 reads per mouse.</w:t>
      </w:r>
    </w:p>
    <w:p>
      <w:pPr>
        <w:keepNext/>
        <w:pageBreakBefore/>
        <w:jc w:val="center"/>
      </w:pPr>
      <w:r>
        <w:drawing>
          <wp:inline xmlns:a="http://schemas.openxmlformats.org/drawingml/2006/main" xmlns:pic="http://schemas.openxmlformats.org/drawingml/2006/picture">
            <wp:extent cx="6264000" cy="2231264"/>
            <wp:docPr id="31" name="Picture 31"/>
            <wp:cNvGraphicFramePr>
              <a:graphicFrameLocks noChangeAspect="1"/>
            </wp:cNvGraphicFramePr>
            <a:graphic>
              <a:graphicData uri="http://schemas.openxmlformats.org/drawingml/2006/picture">
                <pic:pic>
                  <pic:nvPicPr>
                    <pic:cNvPr id="0" name="FigureS18_engineered.png"/>
                    <pic:cNvPicPr/>
                  </pic:nvPicPr>
                  <pic:blipFill>
                    <a:blip r:embed="rId40"/>
                    <a:stretch>
                      <a:fillRect/>
                    </a:stretch>
                  </pic:blipFill>
                  <pic:spPr>
                    <a:xfrm>
                      <a:off x="0" y="0"/>
                      <a:ext cx="6264000" cy="2231264"/>
                    </a:xfrm>
                    <a:prstGeom prst="rect"/>
                  </pic:spPr>
                </pic:pic>
              </a:graphicData>
            </a:graphic>
          </wp:inline>
        </w:drawing>
      </w:r>
    </w:p>
    <w:p>
      <w:pPr>
        <w:spacing w:line="240" w:lineRule="auto" w:after="80"/>
        <w:jc w:val="both"/>
      </w:pPr>
      <w:bookmarkStart w:id="26" w:name="fig_S18"/>
      <w:bookmarkEnd w:id="26"/>
      <w:hyperlink w:anchor="fig_S18" w:history="1">
        <w:r>
          <w:rPr>
            <w:b/>
            <w:i w:val="0"/>
            <w:color w:val="1F5FA8"/>
            <w:sz w:val="20"/>
          </w:rPr>
          <w:t>Figure S18</w:t>
        </w:r>
      </w:hyperlink>
      <w:r>
        <w:rPr>
          <w:b/>
          <w:i w:val="0"/>
          <w:sz w:val="20"/>
        </w:rPr>
        <w:t xml:space="preserve">. Engineered AID diversification, related to </w:t>
      </w:r>
      <w:hyperlink w:anchor="fig_7" w:history="1">
        <w:r>
          <w:rPr>
            <w:b/>
            <w:i w:val="0"/>
            <w:color w:val="1F5FA8"/>
            <w:sz w:val="20"/>
          </w:rPr>
          <w:t>Figure 7</w:t>
        </w:r>
      </w:hyperlink>
      <w:r>
        <w:rPr>
          <w:b/>
          <w:i w:val="0"/>
          <w:sz w:val="20"/>
        </w:rPr>
        <w:t xml:space="preserve">. </w:t>
      </w:r>
      <w:r>
        <w:rPr>
          <w:b w:val="0"/>
          <w:i w:val="0"/>
          <w:sz w:val="20"/>
        </w:rPr>
        <w:t>(</w:t>
      </w:r>
      <w:r>
        <w:rPr>
          <w:b/>
          <w:i w:val="0"/>
          <w:sz w:val="20"/>
        </w:rPr>
        <w:t>A</w:t>
      </w:r>
      <w:r>
        <w:rPr>
          <w:b w:val="0"/>
          <w:i w:val="0"/>
          <w:sz w:val="20"/>
        </w:rPr>
        <w:t>)</w:t>
      </w:r>
      <w:r>
        <w:rPr>
          <w:b w:val="0"/>
          <w:i w:val="0"/>
          <w:sz w:val="20"/>
        </w:rPr>
        <w:t xml:space="preserve">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val="0"/>
          <w:i w:val="0"/>
          <w:sz w:val="20"/>
        </w:rPr>
        <w:t>(</w:t>
      </w:r>
      <w:r>
        <w:rPr>
          <w:b/>
          <w:i w:val="0"/>
          <w:sz w:val="20"/>
        </w:rPr>
        <w:t>B</w:t>
      </w:r>
      <w:r>
        <w:rPr>
          <w:b w:val="0"/>
          <w:i w:val="0"/>
          <w:sz w:val="20"/>
        </w:rPr>
        <w:t>)</w:t>
      </w:r>
      <w:r>
        <w:rPr>
          <w:b w:val="0"/>
          <w:i w:val="0"/>
          <w:sz w:val="20"/>
        </w:rPr>
        <w:t xml:space="preserve"> An AID-diversified antibody V</w:t>
      </w:r>
      <w:r>
        <w:rPr>
          <w:i w:val="0"/>
          <w:sz w:val="20"/>
          <w:vertAlign w:val="subscript"/>
        </w:rPr>
        <w:t>H</w:t>
      </w:r>
      <w:r>
        <w:rPr>
          <w:b w:val="0"/>
          <w:i w:val="0"/>
          <w:sz w:val="20"/>
        </w:rPr>
        <w:t xml:space="preserve"> against the mutations its authors list for the same clusters</w:t>
      </w:r>
      <w:hyperlink w:anchor="ref_41" w:history="1">
        <w:r>
          <w:rPr>
            <w:i w:val="0"/>
            <w:color w:val="1F5FA8"/>
            <w:sz w:val="20"/>
            <w:vertAlign w:val="superscript"/>
          </w:rPr>
          <w:t>41</w:t>
        </w:r>
      </w:hyperlink>
      <w:r>
        <w:rPr>
          <w:b w:val="0"/>
          <w:i w:val="0"/>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b w:val="0"/>
          <w:i w:val="0"/>
          <w:sz w:val="20"/>
        </w:rPr>
        <w:t xml:space="preserve"> and </w:t>
      </w:r>
      <w:r>
        <w:rPr>
          <w:rFonts w:ascii="Courier New" w:hAnsi="Courier New"/>
          <w:sz w:val="18"/>
        </w:rPr>
        <w:t>crm/devilder_clones.py</w:t>
      </w:r>
      <w:r>
        <w:rPr>
          <w:b w:val="0"/>
          <w:i w:val="0"/>
          <w:sz w:val="20"/>
        </w:rPr>
        <w:t>.</w:t>
      </w:r>
    </w:p>
    <w:p>
      <w:pPr>
        <w:keepNext/>
        <w:pageBreakBefore/>
        <w:jc w:val="center"/>
      </w:pPr>
      <w:r>
        <w:drawing>
          <wp:inline xmlns:a="http://schemas.openxmlformats.org/drawingml/2006/main" xmlns:pic="http://schemas.openxmlformats.org/drawingml/2006/picture">
            <wp:extent cx="6264000" cy="4031212"/>
            <wp:docPr id="32" name="Picture 32"/>
            <wp:cNvGraphicFramePr>
              <a:graphicFrameLocks noChangeAspect="1"/>
            </wp:cNvGraphicFramePr>
            <a:graphic>
              <a:graphicData uri="http://schemas.openxmlformats.org/drawingml/2006/picture">
                <pic:pic>
                  <pic:nvPicPr>
                    <pic:cNvPr id="0" name="FigureS19_public_smu.png"/>
                    <pic:cNvPicPr/>
                  </pic:nvPicPr>
                  <pic:blipFill>
                    <a:blip r:embed="rId41"/>
                    <a:stretch>
                      <a:fillRect/>
                    </a:stretch>
                  </pic:blipFill>
                  <pic:spPr>
                    <a:xfrm>
                      <a:off x="0" y="0"/>
                      <a:ext cx="6264000" cy="4031212"/>
                    </a:xfrm>
                    <a:prstGeom prst="rect"/>
                  </pic:spPr>
                </pic:pic>
              </a:graphicData>
            </a:graphic>
          </wp:inline>
        </w:drawing>
      </w:r>
    </w:p>
    <w:p>
      <w:pPr>
        <w:spacing w:line="240" w:lineRule="auto" w:after="80"/>
        <w:jc w:val="both"/>
      </w:pPr>
      <w:bookmarkStart w:id="27" w:name="fig_S19"/>
      <w:bookmarkEnd w:id="27"/>
      <w:hyperlink w:anchor="fig_S19" w:history="1">
        <w:r>
          <w:rPr>
            <w:b/>
            <w:i w:val="0"/>
            <w:color w:val="1F5FA8"/>
            <w:sz w:val="20"/>
          </w:rPr>
          <w:t>Figure S19</w:t>
        </w:r>
      </w:hyperlink>
      <w:r>
        <w:rPr>
          <w:b/>
          <w:i w:val="0"/>
          <w:sz w:val="20"/>
        </w:rPr>
        <w:t xml:space="preserve">. Public Sμ mutation libraries under PI3Kδ blockade, related to </w:t>
      </w:r>
      <w:hyperlink w:anchor="fig_7" w:history="1">
        <w:r>
          <w:rPr>
            <w:b/>
            <w:i w:val="0"/>
            <w:color w:val="1F5FA8"/>
            <w:sz w:val="20"/>
          </w:rPr>
          <w:t>Figure 7</w:t>
        </w:r>
      </w:hyperlink>
      <w:r>
        <w:rPr>
          <w:b/>
          <w:i w:val="0"/>
          <w:sz w:val="20"/>
        </w:rPr>
        <w:t xml:space="preserve">. </w:t>
      </w:r>
      <w:r>
        <w:rPr>
          <w:b w:val="0"/>
          <w:i w:val="0"/>
          <w:sz w:val="20"/>
        </w:rPr>
        <w:t xml:space="preserve">Sμ amplicons from Wt and </w:t>
      </w:r>
      <w:r>
        <w:rPr>
          <w:i/>
          <w:sz w:val="20"/>
        </w:rPr>
        <w:t>Aicda</w:t>
      </w:r>
      <w:r>
        <w:rPr>
          <w:i w:val="0"/>
          <w:sz w:val="20"/>
          <w:vertAlign w:val="superscript"/>
        </w:rPr>
        <w:t>−/−</w:t>
      </w:r>
      <w:r>
        <w:rPr>
          <w:b w:val="0"/>
          <w:i w:val="0"/>
          <w:sz w:val="20"/>
        </w:rPr>
        <w:t xml:space="preserve"> primary B cells treated with DMSO, idelalisib or duvelisib, three replicates per genotype and treatment (GSE77788). </w:t>
      </w:r>
      <w:r>
        <w:rPr>
          <w:b w:val="0"/>
          <w:i w:val="0"/>
          <w:sz w:val="20"/>
        </w:rPr>
        <w:t>(</w:t>
      </w:r>
      <w:r>
        <w:rPr>
          <w:b/>
          <w:i w:val="0"/>
          <w:sz w:val="20"/>
        </w:rPr>
        <w:t>A</w:t>
      </w:r>
      <w:r>
        <w:rPr>
          <w:b w:val="0"/>
          <w:i w:val="0"/>
          <w:sz w:val="20"/>
        </w:rPr>
        <w:t>)</w:t>
      </w:r>
      <w:r>
        <w:rPr>
          <w:b w:val="0"/>
          <w:i w:val="0"/>
          <w:sz w:val="20"/>
        </w:rPr>
        <w:t xml:space="preserve"> Library coverage of the 651-bp reference, whose first half contains switch repeats. Six of nine Wt libraries are 300-bp single-end, whereas all </w:t>
      </w:r>
      <w:r>
        <w:rPr>
          <w:i/>
          <w:sz w:val="20"/>
        </w:rPr>
        <w:t>Aicda</w:t>
      </w:r>
      <w:r>
        <w:rPr>
          <w:i w:val="0"/>
          <w:sz w:val="20"/>
          <w:vertAlign w:val="superscript"/>
        </w:rPr>
        <w:t>−/−</w:t>
      </w:r>
      <w:r>
        <w:rPr>
          <w:b w:val="0"/>
          <w:i w:val="0"/>
          <w:sz w:val="20"/>
        </w:rPr>
        <w:t xml:space="preserve"> libraries are paired-end, confounding genotype with library layout. Mates do not overlap. Window B is covered by one read from every library; window C covers repeats accessible only through the second mate. </w:t>
      </w:r>
      <w:r>
        <w:rPr>
          <w:b w:val="0"/>
          <w:i w:val="0"/>
          <w:sz w:val="20"/>
        </w:rPr>
        <w:t>(</w:t>
      </w:r>
      <w:r>
        <w:rPr>
          <w:b/>
          <w:i w:val="0"/>
          <w:sz w:val="20"/>
        </w:rPr>
        <w:t>B</w:t>
      </w:r>
      <w:r>
        <w:rPr>
          <w:b w:val="0"/>
          <w:i w:val="0"/>
          <w:sz w:val="20"/>
        </w:rPr>
        <w:t>)</w:t>
      </w:r>
      <w:r>
        <w:rPr>
          <w:b w:val="0"/>
          <w:i w:val="0"/>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i w:val="0"/>
          <w:sz w:val="20"/>
          <w:vertAlign w:val="superscript"/>
        </w:rPr>
        <w:t>−/−</w:t>
      </w:r>
      <w:r>
        <w:rPr>
          <w:b w:val="0"/>
          <w:i w:val="0"/>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val="0"/>
          <w:i w:val="0"/>
          <w:sz w:val="20"/>
        </w:rPr>
        <w:t>(</w:t>
      </w:r>
      <w:r>
        <w:rPr>
          <w:b/>
          <w:i w:val="0"/>
          <w:sz w:val="20"/>
        </w:rPr>
        <w:t>C</w:t>
      </w:r>
      <w:r>
        <w:rPr>
          <w:b w:val="0"/>
          <w:i w:val="0"/>
          <w:sz w:val="20"/>
        </w:rPr>
        <w:t>)</w:t>
      </w:r>
      <w:r>
        <w:rPr>
          <w:b w:val="0"/>
          <w:i w:val="0"/>
          <w:sz w:val="20"/>
        </w:rPr>
        <w:t xml:space="preserve"> Descriptive genotype comparison in window C using the twelve paired libraries (three Wt and nine </w:t>
      </w:r>
      <w:r>
        <w:rPr>
          <w:i/>
          <w:sz w:val="20"/>
        </w:rPr>
        <w:t>Aicda</w:t>
      </w:r>
      <w:r>
        <w:rPr>
          <w:i w:val="0"/>
          <w:sz w:val="20"/>
          <w:vertAlign w:val="superscript"/>
        </w:rPr>
        <w:t>−/−</w:t>
      </w:r>
      <w:r>
        <w:rPr>
          <w:b w:val="0"/>
          <w:i w:val="0"/>
          <w:sz w:val="20"/>
        </w:rPr>
        <w:t>). Each Wt treatment has only one replicate, so pooled treatment groups do not provide a balanced treatment comparison. Targeting index and C→T/G→A share refer to Wt calls.</w:t>
      </w:r>
    </w:p>
    <w:p>
      <w:pPr>
        <w:keepNext/>
        <w:pageBreakBefore/>
        <w:jc w:val="center"/>
      </w:pPr>
      <w:r>
        <w:drawing>
          <wp:inline xmlns:a="http://schemas.openxmlformats.org/drawingml/2006/main" xmlns:pic="http://schemas.openxmlformats.org/drawingml/2006/picture">
            <wp:extent cx="6264000" cy="3743159"/>
            <wp:docPr id="33" name="Picture 33"/>
            <wp:cNvGraphicFramePr>
              <a:graphicFrameLocks noChangeAspect="1"/>
            </wp:cNvGraphicFramePr>
            <a:graphic>
              <a:graphicData uri="http://schemas.openxmlformats.org/drawingml/2006/picture">
                <pic:pic>
                  <pic:nvPicPr>
                    <pic:cNvPr id="0" name="FigureS20_switch_pacbio.png"/>
                    <pic:cNvPicPr/>
                  </pic:nvPicPr>
                  <pic:blipFill>
                    <a:blip r:embed="rId42"/>
                    <a:stretch>
                      <a:fillRect/>
                    </a:stretch>
                  </pic:blipFill>
                  <pic:spPr>
                    <a:xfrm>
                      <a:off x="0" y="0"/>
                      <a:ext cx="6264000" cy="3743159"/>
                    </a:xfrm>
                    <a:prstGeom prst="rect"/>
                  </pic:spPr>
                </pic:pic>
              </a:graphicData>
            </a:graphic>
          </wp:inline>
        </w:drawing>
      </w:r>
    </w:p>
    <w:p>
      <w:pPr>
        <w:spacing w:line="240" w:lineRule="auto" w:after="80"/>
        <w:jc w:val="both"/>
      </w:pPr>
      <w:bookmarkStart w:id="28" w:name="fig_S20"/>
      <w:bookmarkEnd w:id="28"/>
      <w:hyperlink w:anchor="fig_S20" w:history="1">
        <w:r>
          <w:rPr>
            <w:b/>
            <w:i w:val="0"/>
            <w:color w:val="1F5FA8"/>
            <w:sz w:val="20"/>
          </w:rPr>
          <w:t>Figure S20</w:t>
        </w:r>
      </w:hyperlink>
      <w:r>
        <w:rPr>
          <w:b/>
          <w:i w:val="0"/>
          <w:sz w:val="20"/>
        </w:rPr>
        <w:t xml:space="preserve">. Class-switch junctions in a public PacBio dataset, related to </w:t>
      </w:r>
      <w:hyperlink w:anchor="fig_7" w:history="1">
        <w:r>
          <w:rPr>
            <w:b/>
            <w:i w:val="0"/>
            <w:color w:val="1F5FA8"/>
            <w:sz w:val="20"/>
          </w:rPr>
          <w:t>Figure 7</w:t>
        </w:r>
      </w:hyperlink>
      <w:r>
        <w:rPr>
          <w:b/>
          <w:i w:val="0"/>
          <w:sz w:val="20"/>
        </w:rPr>
        <w:t xml:space="preserve">. </w:t>
      </w:r>
      <w:r>
        <w:rPr>
          <w:b w:val="0"/>
          <w:i w:val="0"/>
          <w:sz w:val="20"/>
        </w:rPr>
        <w:t xml:space="preserve">Sμ–Sγ1 products from Wt, </w:t>
      </w:r>
      <w:r>
        <w:rPr>
          <w:i/>
          <w:sz w:val="20"/>
        </w:rPr>
        <w:t>Shld1</w:t>
      </w:r>
      <w:r>
        <w:rPr>
          <w:i w:val="0"/>
          <w:sz w:val="20"/>
          <w:vertAlign w:val="superscript"/>
        </w:rPr>
        <w:t>−/−</w:t>
      </w:r>
      <w:r>
        <w:rPr>
          <w:b w:val="0"/>
          <w:i w:val="0"/>
          <w:sz w:val="20"/>
        </w:rPr>
        <w:t xml:space="preserve">, </w:t>
      </w:r>
      <w:r>
        <w:rPr>
          <w:i/>
          <w:sz w:val="20"/>
        </w:rPr>
        <w:t>Xlf</w:t>
      </w:r>
      <w:r>
        <w:rPr>
          <w:i w:val="0"/>
          <w:sz w:val="20"/>
          <w:vertAlign w:val="superscript"/>
        </w:rPr>
        <w:t>−/−</w:t>
      </w:r>
      <w:r>
        <w:rPr>
          <w:b w:val="0"/>
          <w:i w:val="0"/>
          <w:sz w:val="20"/>
        </w:rPr>
        <w:t xml:space="preserve"> and </w:t>
      </w:r>
      <w:r>
        <w:rPr>
          <w:i/>
          <w:sz w:val="20"/>
        </w:rPr>
        <w:t>Shld1</w:t>
      </w:r>
      <w:r>
        <w:rPr>
          <w:i w:val="0"/>
          <w:sz w:val="20"/>
          <w:vertAlign w:val="superscript"/>
        </w:rPr>
        <w:t>−/−</w:t>
      </w:r>
      <w:r>
        <w:rPr>
          <w:i/>
          <w:sz w:val="20"/>
        </w:rPr>
        <w:t>Xlf</w:t>
      </w:r>
      <w:r>
        <w:rPr>
          <w:i w:val="0"/>
          <w:sz w:val="20"/>
          <w:vertAlign w:val="superscript"/>
        </w:rPr>
        <w:t>−/−</w:t>
      </w:r>
      <w:r>
        <w:rPr>
          <w:b w:val="0"/>
          <w:i w:val="0"/>
          <w:sz w:val="20"/>
        </w:rPr>
        <w:t xml:space="preserve"> primary B cells, three mice per genotype and one PacBio run per mouse (PRJNA831666). </w:t>
      </w:r>
      <w:r>
        <w:rPr>
          <w:b w:val="0"/>
          <w:i w:val="0"/>
          <w:sz w:val="20"/>
        </w:rPr>
        <w:t>(</w:t>
      </w:r>
      <w:r>
        <w:rPr>
          <w:b/>
          <w:i w:val="0"/>
          <w:sz w:val="20"/>
        </w:rPr>
        <w:t>A</w:t>
      </w:r>
      <w:r>
        <w:rPr>
          <w:b w:val="0"/>
          <w:i w:val="0"/>
          <w:sz w:val="20"/>
        </w:rPr>
        <w:t>)</w:t>
      </w:r>
      <w:r>
        <w:rPr>
          <w:b w:val="0"/>
          <w:i w:val="0"/>
          <w:sz w:val="20"/>
        </w:rPr>
        <w:t xml:space="preserve">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val="0"/>
          <w:i w:val="0"/>
          <w:sz w:val="20"/>
        </w:rPr>
        <w:t>(</w:t>
      </w:r>
      <w:r>
        <w:rPr>
          <w:b/>
          <w:i w:val="0"/>
          <w:sz w:val="20"/>
        </w:rPr>
        <w:t>B</w:t>
      </w:r>
      <w:r>
        <w:rPr>
          <w:b w:val="0"/>
          <w:i w:val="0"/>
          <w:sz w:val="20"/>
        </w:rPr>
        <w:t>)</w:t>
      </w:r>
      <w:r>
        <w:rPr>
          <w:b w:val="0"/>
          <w:i w:val="0"/>
          <w:sz w:val="20"/>
        </w:rPr>
        <w:t xml:space="preserve"> Unique-junction microhomology classes in each mouse: blunt, 1–3 nt, ≥4 nt and junctions with inserted bases. </w:t>
      </w:r>
      <w:r>
        <w:rPr>
          <w:b w:val="0"/>
          <w:i w:val="0"/>
          <w:sz w:val="20"/>
        </w:rPr>
        <w:t>(</w:t>
      </w:r>
      <w:r>
        <w:rPr>
          <w:b/>
          <w:i w:val="0"/>
          <w:sz w:val="20"/>
        </w:rPr>
        <w:t>C</w:t>
      </w:r>
      <w:r>
        <w:rPr>
          <w:b w:val="0"/>
          <w:i w:val="0"/>
          <w:sz w:val="20"/>
        </w:rPr>
        <w:t>)</w:t>
      </w:r>
      <w:r>
        <w:rPr>
          <w:b w:val="0"/>
          <w:i w:val="0"/>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b w:val="0"/>
          <w:i w:val="0"/>
          <w:sz w:val="20"/>
        </w:rPr>
        <w:t xml:space="preserve">. </w:t>
      </w:r>
      <w:r>
        <w:rPr>
          <w:b w:val="0"/>
          <w:i w:val="0"/>
          <w:sz w:val="20"/>
        </w:rPr>
        <w:t>(</w:t>
      </w:r>
      <w:r>
        <w:rPr>
          <w:b/>
          <w:i w:val="0"/>
          <w:sz w:val="20"/>
        </w:rPr>
        <w:t>D</w:t>
      </w:r>
      <w:r>
        <w:rPr>
          <w:b w:val="0"/>
          <w:i w:val="0"/>
          <w:sz w:val="20"/>
        </w:rPr>
        <w:t>)</w:t>
      </w:r>
      <w:r>
        <w:rPr>
          <w:b w:val="0"/>
          <w:i w:val="0"/>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i w:val="0"/>
          <w:sz w:val="20"/>
          <w:vertAlign w:val="superscript"/>
        </w:rPr>
        <w:t>−/−</w:t>
      </w:r>
      <w:r>
        <w:rPr>
          <w:b w:val="0"/>
          <w:i w:val="0"/>
          <w:sz w:val="20"/>
        </w:rPr>
        <w:t xml:space="preserve"> ≥4-nt microhomology becomes stronger and </w:t>
      </w:r>
      <w:r>
        <w:rPr>
          <w:i/>
          <w:sz w:val="20"/>
        </w:rPr>
        <w:t>Xlf</w:t>
      </w:r>
      <w:r>
        <w:rPr>
          <w:i w:val="0"/>
          <w:sz w:val="20"/>
          <w:vertAlign w:val="superscript"/>
        </w:rPr>
        <w:t>−/−</w:t>
      </w:r>
      <w:r>
        <w:rPr>
          <w:b w:val="0"/>
          <w:i w:val="0"/>
          <w:sz w:val="20"/>
        </w:rPr>
        <w:t xml:space="preserve"> insertions weaker (STAR Methods); not all 15 comparisons appear in panel C. The dataset lacks AID-null controls and does not evaluate substitution-test calibration.</w:t>
      </w:r>
    </w:p>
    <w:p>
      <w:pPr>
        <w:keepNext/>
        <w:pageBreakBefore/>
        <w:jc w:val="center"/>
      </w:pPr>
      <w:r>
        <w:drawing>
          <wp:inline xmlns:a="http://schemas.openxmlformats.org/drawingml/2006/main" xmlns:pic="http://schemas.openxmlformats.org/drawingml/2006/picture">
            <wp:extent cx="6264000" cy="6219192"/>
            <wp:docPr id="34" name="Picture 34"/>
            <wp:cNvGraphicFramePr>
              <a:graphicFrameLocks noChangeAspect="1"/>
            </wp:cNvGraphicFramePr>
            <a:graphic>
              <a:graphicData uri="http://schemas.openxmlformats.org/drawingml/2006/picture">
                <pic:pic>
                  <pic:nvPicPr>
                    <pic:cNvPr id="0" name="FigureS21_platforms.png"/>
                    <pic:cNvPicPr/>
                  </pic:nvPicPr>
                  <pic:blipFill>
                    <a:blip r:embed="rId43"/>
                    <a:stretch>
                      <a:fillRect/>
                    </a:stretch>
                  </pic:blipFill>
                  <pic:spPr>
                    <a:xfrm>
                      <a:off x="0" y="0"/>
                      <a:ext cx="6264000" cy="6219192"/>
                    </a:xfrm>
                    <a:prstGeom prst="rect"/>
                  </pic:spPr>
                </pic:pic>
              </a:graphicData>
            </a:graphic>
          </wp:inline>
        </w:drawing>
      </w:r>
    </w:p>
    <w:p>
      <w:pPr>
        <w:spacing w:line="240" w:lineRule="auto" w:after="80"/>
        <w:jc w:val="both"/>
      </w:pPr>
      <w:bookmarkStart w:id="29" w:name="fig_S21"/>
      <w:bookmarkEnd w:id="29"/>
      <w:hyperlink w:anchor="fig_S21" w:history="1">
        <w:r>
          <w:rPr>
            <w:b/>
            <w:i w:val="0"/>
            <w:color w:val="1F5FA8"/>
            <w:sz w:val="20"/>
          </w:rPr>
          <w:t>Figure S21</w:t>
        </w:r>
      </w:hyperlink>
      <w:r>
        <w:rPr>
          <w:b/>
          <w:i w:val="0"/>
          <w:sz w:val="20"/>
        </w:rPr>
        <w:t xml:space="preserve">. What a read means on each of the four platforms, related to </w:t>
      </w:r>
      <w:hyperlink w:anchor="fig_5" w:history="1">
        <w:r>
          <w:rPr>
            <w:b/>
            <w:i w:val="0"/>
            <w:color w:val="1F5FA8"/>
            <w:sz w:val="20"/>
          </w:rPr>
          <w:t>Figures 5</w:t>
        </w:r>
      </w:hyperlink>
      <w:r>
        <w:rPr>
          <w:b/>
          <w:i w:val="0"/>
          <w:sz w:val="20"/>
        </w:rPr>
        <w:t>–</w:t>
      </w:r>
      <w:hyperlink w:anchor="fig_7" w:history="1">
        <w:r>
          <w:rPr>
            <w:b/>
            <w:i w:val="0"/>
            <w:color w:val="1F5FA8"/>
            <w:sz w:val="20"/>
          </w:rPr>
          <w:t>7</w:t>
        </w:r>
      </w:hyperlink>
      <w:r>
        <w:rPr>
          <w:b/>
          <w:i w:val="0"/>
          <w:sz w:val="20"/>
        </w:rPr>
        <w:t xml:space="preserve">. </w:t>
      </w:r>
      <w:r>
        <w:rPr>
          <w:b w:val="0"/>
          <w:i w:val="0"/>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i w:val="0"/>
          <w:sz w:val="20"/>
          <w:vertAlign w:val="subscript"/>
        </w:rPr>
        <w:t>H</w:t>
      </w:r>
      <w:r>
        <w:rPr>
          <w:b w:val="0"/>
          <w:i w:val="0"/>
          <w:sz w:val="20"/>
        </w:rPr>
        <w:t xml:space="preserve">4 mouse (PRJNA973112; 95.5% merged) and 14,679 pairs from an AID-expressing CH12F3 replicate (PRJNA918596; 96.7% merged). Agreeing overlap bases have summed qualities capped at Q60; disagreements retain the higher-quality call or become N at tied qualities. Adapter read-through is removed, and pairs with &lt;20-bp overlap are discarded. Overlap disagreements occurred at 0.13% and 0.55% of bases, respectively. Merged reads enter the </w:t>
      </w:r>
      <w:hyperlink w:anchor="fig_1" w:history="1">
        <w:r>
          <w:rPr>
            <w:b/>
            <w:i w:val="0"/>
            <w:color w:val="1F5FA8"/>
            <w:sz w:val="20"/>
          </w:rPr>
          <w:t>Figure 1</w:t>
        </w:r>
      </w:hyperlink>
      <w:r>
        <w:rPr>
          <w:b w:val="0"/>
          <w:i w:val="0"/>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b w:val="0"/>
          <w:i w:val="0"/>
          <w:sz w:val="20"/>
        </w:rPr>
        <w:t>).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a table setting the two in-house platforms side by side: the unit each counts, its span, its calling rule, what each gives alone, the Wt/AID-null separation and the main limits, then their agreement in the six matched mice. These comparisons are assay-specific: Sanger amplicons spanning V</w:t>
      </w:r>
      <w:r>
        <w:rPr>
          <w:b w:val="0"/>
          <w:i w:val="0"/>
          <w:sz w:val="20"/>
        </w:rPr>
        <w:t>(</w:t>
      </w:r>
      <w:r>
        <w:rPr>
          <w:b/>
          <w:i w:val="0"/>
          <w:sz w:val="20"/>
        </w:rPr>
        <w:t>D</w:t>
      </w:r>
      <w:r>
        <w:rPr>
          <w:b w:val="0"/>
          <w:i w:val="0"/>
          <w:sz w:val="20"/>
        </w:rPr>
        <w:t>)</w:t>
      </w:r>
      <w:r>
        <w:rPr>
          <w:b w:val="0"/>
          <w:i w:val="0"/>
          <w:sz w:val="20"/>
        </w:rPr>
        <w:t xml:space="preserve">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4" w:history="1">
        <w:r>
          <w:rPr>
            <w:b/>
            <w:i w:val="0"/>
            <w:color w:val="1F5FA8"/>
            <w:sz w:val="20"/>
          </w:rPr>
          <w:t>Figures S14</w:t>
        </w:r>
      </w:hyperlink>
      <w:r>
        <w:rPr>
          <w:b/>
          <w:i w:val="0"/>
          <w:sz w:val="20"/>
        </w:rPr>
        <w:t xml:space="preserve"> and </w:t>
      </w:r>
      <w:hyperlink w:anchor="fig_S15" w:history="1">
        <w:r>
          <w:rPr>
            <w:b/>
            <w:i w:val="0"/>
            <w:color w:val="1F5FA8"/>
            <w:sz w:val="20"/>
          </w:rPr>
          <w:t>S15</w:t>
        </w:r>
      </w:hyperlink>
      <w:r>
        <w:rPr>
          <w:b w:val="0"/>
          <w:i w:val="0"/>
          <w:sz w:val="20"/>
        </w:rPr>
        <w:t>.</w:t>
      </w:r>
    </w:p>
    <w:p>
      <w:pPr>
        <w:keepNext/>
        <w:pageBreakBefore/>
        <w:jc w:val="center"/>
      </w:pPr>
      <w:r>
        <w:drawing>
          <wp:inline xmlns:a="http://schemas.openxmlformats.org/drawingml/2006/main" xmlns:pic="http://schemas.openxmlformats.org/drawingml/2006/picture">
            <wp:extent cx="6264000" cy="3535274"/>
            <wp:docPr id="35" name="Picture 35"/>
            <wp:cNvGraphicFramePr>
              <a:graphicFrameLocks noChangeAspect="1"/>
            </wp:cNvGraphicFramePr>
            <a:graphic>
              <a:graphicData uri="http://schemas.openxmlformats.org/drawingml/2006/picture">
                <pic:pic>
                  <pic:nvPicPr>
                    <pic:cNvPr id="0" name="FigureS22_overview.png"/>
                    <pic:cNvPicPr/>
                  </pic:nvPicPr>
                  <pic:blipFill>
                    <a:blip r:embed="rId44"/>
                    <a:stretch>
                      <a:fillRect/>
                    </a:stretch>
                  </pic:blipFill>
                  <pic:spPr>
                    <a:xfrm>
                      <a:off x="0" y="0"/>
                      <a:ext cx="6264000" cy="3535274"/>
                    </a:xfrm>
                    <a:prstGeom prst="rect"/>
                  </pic:spPr>
                </pic:pic>
              </a:graphicData>
            </a:graphic>
          </wp:inline>
        </w:drawing>
      </w:r>
    </w:p>
    <w:p>
      <w:pPr>
        <w:spacing w:line="240" w:lineRule="auto" w:after="80"/>
        <w:jc w:val="both"/>
      </w:pPr>
      <w:bookmarkStart w:id="30" w:name="fig_S22"/>
      <w:bookmarkEnd w:id="30"/>
      <w:hyperlink w:anchor="fig_S22" w:history="1">
        <w:r>
          <w:rPr>
            <w:b/>
            <w:i w:val="0"/>
            <w:color w:val="1F5FA8"/>
            <w:sz w:val="20"/>
          </w:rPr>
          <w:t>Figure S22</w:t>
        </w:r>
      </w:hyperlink>
      <w:r>
        <w:rPr>
          <w:b/>
          <w:i w:val="0"/>
          <w:sz w:val="20"/>
        </w:rPr>
        <w:t xml:space="preserve">. SHMtrace analysis workflow, related to STAR Methods. </w:t>
      </w:r>
      <w:r>
        <w:rPr>
          <w:b w:val="0"/>
          <w:i w:val="0"/>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i w:val="0"/>
            <w:color w:val="1F5FA8"/>
            <w:sz w:val="20"/>
          </w:rPr>
          <w:t>Figure 1C</w:t>
        </w:r>
      </w:hyperlink>
      <w:r>
        <w:rPr>
          <w:b w:val="0"/>
          <w:i w:val="0"/>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3" w:history="1">
        <w:r>
          <w:rPr>
            <w:b/>
            <w:i w:val="0"/>
            <w:color w:val="1F5FA8"/>
            <w:sz w:val="20"/>
          </w:rPr>
          <w:t>Figure S23</w:t>
        </w:r>
      </w:hyperlink>
      <w:r>
        <w:rPr>
          <w:b w:val="0"/>
          <w:i w:val="0"/>
          <w:sz w:val="20"/>
        </w:rPr>
        <w:t xml:space="preserve"> details the analytical rules and equations.</w:t>
      </w:r>
    </w:p>
    <w:p>
      <w:pPr>
        <w:keepNext/>
        <w:pageBreakBefore/>
        <w:jc w:val="center"/>
      </w:pPr>
      <w:r>
        <w:drawing>
          <wp:inline xmlns:a="http://schemas.openxmlformats.org/drawingml/2006/main" xmlns:pic="http://schemas.openxmlformats.org/drawingml/2006/picture">
            <wp:extent cx="6264000" cy="4545744"/>
            <wp:docPr id="36" name="Picture 36"/>
            <wp:cNvGraphicFramePr>
              <a:graphicFrameLocks noChangeAspect="1"/>
            </wp:cNvGraphicFramePr>
            <a:graphic>
              <a:graphicData uri="http://schemas.openxmlformats.org/drawingml/2006/picture">
                <pic:pic>
                  <pic:nvPicPr>
                    <pic:cNvPr id="0" name="FigureS23_engine.png"/>
                    <pic:cNvPicPr/>
                  </pic:nvPicPr>
                  <pic:blipFill>
                    <a:blip r:embed="rId45"/>
                    <a:stretch>
                      <a:fillRect/>
                    </a:stretch>
                  </pic:blipFill>
                  <pic:spPr>
                    <a:xfrm>
                      <a:off x="0" y="0"/>
                      <a:ext cx="6264000" cy="4545744"/>
                    </a:xfrm>
                    <a:prstGeom prst="rect"/>
                  </pic:spPr>
                </pic:pic>
              </a:graphicData>
            </a:graphic>
          </wp:inline>
        </w:drawing>
      </w:r>
    </w:p>
    <w:p>
      <w:pPr>
        <w:spacing w:line="240" w:lineRule="auto" w:after="80"/>
        <w:jc w:val="both"/>
      </w:pPr>
      <w:bookmarkStart w:id="31" w:name="fig_S23"/>
      <w:bookmarkEnd w:id="31"/>
      <w:hyperlink w:anchor="fig_S23" w:history="1">
        <w:r>
          <w:rPr>
            <w:b/>
            <w:i w:val="0"/>
            <w:color w:val="1F5FA8"/>
            <w:sz w:val="20"/>
          </w:rPr>
          <w:t>Figure S23</w:t>
        </w:r>
      </w:hyperlink>
      <w:r>
        <w:rPr>
          <w:b/>
          <w:i w:val="0"/>
          <w:sz w:val="20"/>
        </w:rPr>
        <w:t xml:space="preserve">. Rules underlying variant calling, related to STAR Methods. </w:t>
      </w:r>
      <w:r>
        <w:rPr>
          <w:b w:val="0"/>
          <w:i w:val="0"/>
          <w:sz w:val="20"/>
        </w:rPr>
        <w:t>The four statistical stages of the read-library route, each with the rule and the equation the software implements, and each shown working on the J</w:t>
      </w:r>
      <w:r>
        <w:rPr>
          <w:i w:val="0"/>
          <w:sz w:val="20"/>
          <w:vertAlign w:val="subscript"/>
        </w:rPr>
        <w:t>H</w:t>
      </w:r>
      <w:r>
        <w:rPr>
          <w:b w:val="0"/>
          <w:i w:val="0"/>
          <w:sz w:val="20"/>
        </w:rPr>
        <w:t xml:space="preserve">4 libraries rather than stated in the abstract. Read preparation and competitive alignment are routine preprocessing and are shown in </w:t>
      </w:r>
      <w:hyperlink w:anchor="fig_S1" w:history="1">
        <w:r>
          <w:rPr>
            <w:b/>
            <w:i w:val="0"/>
            <w:color w:val="1F5FA8"/>
            <w:sz w:val="20"/>
          </w:rPr>
          <w:t>Figure S1</w:t>
        </w:r>
      </w:hyperlink>
      <w:r>
        <w:rPr>
          <w:b w:val="0"/>
          <w:i w:val="0"/>
          <w:sz w:val="20"/>
        </w:rPr>
        <w:t xml:space="preserve">. </w:t>
      </w:r>
      <w:r>
        <w:rPr>
          <w:b w:val="0"/>
          <w:i w:val="0"/>
          <w:sz w:val="20"/>
        </w:rPr>
        <w:t>(</w:t>
      </w:r>
      <w:r>
        <w:rPr>
          <w:b/>
          <w:i w:val="0"/>
          <w:sz w:val="20"/>
        </w:rPr>
        <w:t>A</w:t>
      </w:r>
      <w:r>
        <w:rPr>
          <w:b w:val="0"/>
          <w:i w:val="0"/>
          <w:sz w:val="20"/>
        </w:rPr>
        <w:t>)</w:t>
      </w:r>
      <w:r>
        <w:rPr>
          <w:b w:val="0"/>
          <w:i w:val="0"/>
          <w:sz w:val="20"/>
        </w:rPr>
        <w:t xml:space="preserve"> Reported base quality against the mismatch rate measured in </w:t>
      </w:r>
      <w:r>
        <w:rPr>
          <w:i/>
          <w:sz w:val="20"/>
        </w:rPr>
        <w:t>Aicda</w:t>
      </w:r>
      <w:r>
        <w:rPr>
          <w:i w:val="0"/>
          <w:sz w:val="20"/>
          <w:vertAlign w:val="superscript"/>
        </w:rPr>
        <w:t>−/−</w:t>
      </w:r>
      <w:r>
        <w:rPr>
          <w:b w:val="0"/>
          <w:i w:val="0"/>
          <w:sz w:val="20"/>
        </w:rPr>
        <w:t xml:space="preserve"> libraries; the dashed line is the error probability the quality score nominally implies, and the gap between them is what the margin corrects. </w:t>
      </w:r>
      <w:r>
        <w:rPr>
          <w:b w:val="0"/>
          <w:i w:val="0"/>
          <w:sz w:val="20"/>
        </w:rPr>
        <w:t>(</w:t>
      </w:r>
      <w:r>
        <w:rPr>
          <w:b/>
          <w:i w:val="0"/>
          <w:sz w:val="20"/>
        </w:rPr>
        <w:t>B</w:t>
      </w:r>
      <w:r>
        <w:rPr>
          <w:b w:val="0"/>
          <w:i w:val="0"/>
          <w:sz w:val="20"/>
        </w:rPr>
        <w:t>)</w:t>
      </w:r>
      <w:r>
        <w:rPr>
          <w:b w:val="0"/>
          <w:i w:val="0"/>
          <w:sz w:val="20"/>
        </w:rPr>
        <w:t xml:space="preserve"> Two candidates at equal depth in the same library, with their supporting reads in the wild-type and control libraries, and why one is called and the other is not. </w:t>
      </w:r>
      <w:r>
        <w:rPr>
          <w:b w:val="0"/>
          <w:i w:val="0"/>
          <w:sz w:val="20"/>
        </w:rPr>
        <w:t>(</w:t>
      </w:r>
      <w:r>
        <w:rPr>
          <w:b/>
          <w:i w:val="0"/>
          <w:sz w:val="20"/>
        </w:rPr>
        <w:t>C</w:t>
      </w:r>
      <w:r>
        <w:rPr>
          <w:b w:val="0"/>
          <w:i w:val="0"/>
          <w:sz w:val="20"/>
        </w:rPr>
        <w:t>)</w:t>
      </w:r>
      <w:r>
        <w:rPr>
          <w:b w:val="0"/>
          <w:i w:val="0"/>
          <w:sz w:val="20"/>
        </w:rPr>
        <w:t xml:space="preserve"> Candidate counts and held-out-decoy counts across p-value cutoffs, with the threshold that selection returns; the threshold is an empirical estimate that depends on the controls representing the samples' background. </w:t>
      </w:r>
      <w:r>
        <w:rPr>
          <w:b w:val="0"/>
          <w:i w:val="0"/>
          <w:sz w:val="20"/>
        </w:rPr>
        <w:t>(</w:t>
      </w:r>
      <w:r>
        <w:rPr>
          <w:b/>
          <w:i w:val="0"/>
          <w:sz w:val="20"/>
        </w:rPr>
        <w:t>D</w:t>
      </w:r>
      <w:r>
        <w:rPr>
          <w:b w:val="0"/>
          <w:i w:val="0"/>
          <w:sz w:val="20"/>
        </w:rPr>
        <w:t>)</w:t>
      </w:r>
      <w:r>
        <w:rPr>
          <w:b w:val="0"/>
          <w:i w:val="0"/>
          <w:sz w:val="20"/>
        </w:rPr>
        <w:t xml:space="preserve"> The per-animal unique-variant density that group comparisons are made on. Experimental details: panels are drawn from </w:t>
      </w:r>
      <w:r>
        <w:rPr>
          <w:rFonts w:ascii="Courier New" w:hAnsi="Courier New"/>
          <w:sz w:val="18"/>
        </w:rPr>
        <w:t>intuition_jh4.json</w:t>
      </w:r>
      <w:r>
        <w:rPr>
          <w:b w:val="0"/>
          <w:i w:val="0"/>
          <w:sz w:val="20"/>
        </w:rPr>
        <w:t xml:space="preserve"> and the bundled example library.</w:t>
      </w:r>
    </w:p>
    <w:p>
      <w:pPr>
        <w:keepNext/>
        <w:pageBreakBefore/>
        <w:jc w:val="center"/>
      </w:pPr>
      <w:r>
        <w:drawing>
          <wp:inline xmlns:a="http://schemas.openxmlformats.org/drawingml/2006/main" xmlns:pic="http://schemas.openxmlformats.org/drawingml/2006/picture">
            <wp:extent cx="6264000" cy="4823737"/>
            <wp:docPr id="37" name="Picture 37"/>
            <wp:cNvGraphicFramePr>
              <a:graphicFrameLocks noChangeAspect="1"/>
            </wp:cNvGraphicFramePr>
            <a:graphic>
              <a:graphicData uri="http://schemas.openxmlformats.org/drawingml/2006/picture">
                <pic:pic>
                  <pic:nvPicPr>
                    <pic:cNvPr id="0" name="FigureS24.png"/>
                    <pic:cNvPicPr/>
                  </pic:nvPicPr>
                  <pic:blipFill>
                    <a:blip r:embed="rId46"/>
                    <a:stretch>
                      <a:fillRect/>
                    </a:stretch>
                  </pic:blipFill>
                  <pic:spPr>
                    <a:xfrm>
                      <a:off x="0" y="0"/>
                      <a:ext cx="6264000" cy="4823737"/>
                    </a:xfrm>
                    <a:prstGeom prst="rect"/>
                  </pic:spPr>
                </pic:pic>
              </a:graphicData>
            </a:graphic>
          </wp:inline>
        </w:drawing>
      </w:r>
    </w:p>
    <w:p>
      <w:pPr>
        <w:spacing w:line="240" w:lineRule="auto" w:after="80"/>
        <w:jc w:val="both"/>
      </w:pPr>
      <w:bookmarkStart w:id="32" w:name="fig_S24"/>
      <w:bookmarkEnd w:id="32"/>
      <w:hyperlink w:anchor="fig_S24" w:history="1">
        <w:r>
          <w:rPr>
            <w:b/>
            <w:i w:val="0"/>
            <w:color w:val="1F5FA8"/>
            <w:sz w:val="20"/>
          </w:rPr>
          <w:t>Figure S24</w:t>
        </w:r>
      </w:hyperlink>
      <w:r>
        <w:rPr>
          <w:b/>
          <w:i w:val="0"/>
          <w:sz w:val="20"/>
        </w:rPr>
        <w:t xml:space="preserve">. End-to-end stress tests using resampled control reads, related to STAR Methods. </w:t>
      </w:r>
      <w:r>
        <w:rPr>
          <w:b w:val="0"/>
          <w:i w:val="0"/>
          <w:sz w:val="20"/>
        </w:rPr>
        <w:t>AID-null J</w:t>
      </w:r>
      <w:r>
        <w:rPr>
          <w:i w:val="0"/>
          <w:sz w:val="20"/>
          <w:vertAlign w:val="subscript"/>
        </w:rPr>
        <w:t>H</w:t>
      </w:r>
      <w:r>
        <w:rPr>
          <w:b w:val="0"/>
          <w:i w:val="0"/>
          <w:sz w:val="20"/>
        </w:rPr>
        <w:t xml:space="preserve">4 reads were resampled and analyzed with </w:t>
      </w:r>
      <w:r>
        <w:rPr>
          <w:rFonts w:ascii="Courier New" w:hAnsi="Courier New"/>
          <w:sz w:val="18"/>
        </w:rPr>
        <w:t>run_project</w:t>
      </w:r>
      <w:r>
        <w:rPr>
          <w:b w:val="0"/>
          <w:i w:val="0"/>
          <w:sz w:val="20"/>
        </w:rPr>
        <w:t xml:space="preserve">,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val="0"/>
          <w:i w:val="0"/>
          <w:sz w:val="20"/>
        </w:rPr>
        <w:t>(</w:t>
      </w:r>
      <w:r>
        <w:rPr>
          <w:b/>
          <w:i w:val="0"/>
          <w:sz w:val="20"/>
        </w:rPr>
        <w:t>A</w:t>
      </w:r>
      <w:r>
        <w:rPr>
          <w:b w:val="0"/>
          <w:i w:val="0"/>
          <w:sz w:val="20"/>
        </w:rPr>
        <w:t>)</w:t>
      </w:r>
      <w:r>
        <w:rPr>
          <w:b w:val="0"/>
          <w:i w:val="0"/>
          <w:sz w:val="20"/>
        </w:rPr>
        <w:t xml:space="preserve">, and the false-discovery proportion of each mutation-bearing resample, its false calls over all its calls </w:t>
      </w:r>
      <w:r>
        <w:rPr>
          <w:b w:val="0"/>
          <w:i w:val="0"/>
          <w:sz w:val="20"/>
        </w:rPr>
        <w:t>(</w:t>
      </w:r>
      <w:r>
        <w:rPr>
          <w:b/>
          <w:i w:val="0"/>
          <w:sz w:val="20"/>
        </w:rPr>
        <w:t>C</w:t>
      </w:r>
      <w:r>
        <w:rPr>
          <w:b w:val="0"/>
          <w:i w:val="0"/>
          <w:sz w:val="20"/>
        </w:rPr>
        <w:t>)</w:t>
      </w:r>
      <w:r>
        <w:rPr>
          <w:b w:val="0"/>
          <w:i w:val="0"/>
          <w:sz w:val="20"/>
        </w:rPr>
        <w:t xml:space="preserve">. The shaded case-only artifact, absent from every control, marks the boundary of control-based calibration. </w:t>
      </w:r>
      <w:r>
        <w:rPr>
          <w:b w:val="0"/>
          <w:i w:val="0"/>
          <w:sz w:val="20"/>
        </w:rPr>
        <w:t>(</w:t>
      </w:r>
      <w:r>
        <w:rPr>
          <w:b/>
          <w:i w:val="0"/>
          <w:sz w:val="20"/>
        </w:rPr>
        <w:t>A</w:t>
      </w:r>
      <w:r>
        <w:rPr>
          <w:b w:val="0"/>
          <w:i w:val="0"/>
          <w:sz w:val="20"/>
        </w:rPr>
        <w:t>)</w:t>
      </w:r>
      <w:r>
        <w:rPr>
          <w:b w:val="0"/>
          <w:i w:val="0"/>
          <w:sz w:val="20"/>
        </w:rPr>
        <w:t xml:space="preserve"> All-null resamples with any call and 95% Clopper–Pearson intervals; n = 25 per setting for unmodified background and one noisy control, and n = 5 for case-only and shared artifacts. Any discovery gives an all-null false-discovery proportion (FDP) of 1. </w:t>
      </w:r>
      <w:r>
        <w:rPr>
          <w:b w:val="0"/>
          <w:i w:val="0"/>
          <w:sz w:val="20"/>
        </w:rPr>
        <w:t>(</w:t>
      </w:r>
      <w:r>
        <w:rPr>
          <w:b/>
          <w:i w:val="0"/>
          <w:sz w:val="20"/>
        </w:rPr>
        <w:t>B</w:t>
      </w:r>
      <w:r>
        <w:rPr>
          <w:b w:val="0"/>
          <w:i w:val="0"/>
          <w:sz w:val="20"/>
        </w:rPr>
        <w:t>)</w:t>
      </w:r>
      <w:r>
        <w:rPr>
          <w:b w:val="0"/>
          <w:i w:val="0"/>
          <w:sz w:val="20"/>
        </w:rPr>
        <w:t xml:space="preserve"> Mean false calls ± SEM. </w:t>
      </w:r>
      <w:r>
        <w:rPr>
          <w:b w:val="0"/>
          <w:i w:val="0"/>
          <w:sz w:val="20"/>
        </w:rPr>
        <w:t>(</w:t>
      </w:r>
      <w:r>
        <w:rPr>
          <w:b/>
          <w:i w:val="0"/>
          <w:sz w:val="20"/>
        </w:rPr>
        <w:t>C</w:t>
      </w:r>
      <w:r>
        <w:rPr>
          <w:b w:val="0"/>
          <w:i w:val="0"/>
          <w:sz w:val="20"/>
        </w:rPr>
        <w:t>)</w:t>
      </w:r>
      <w:r>
        <w:rPr>
          <w:b w:val="0"/>
          <w:i w:val="0"/>
          <w:sz w:val="20"/>
        </w:rPr>
        <w:t xml:space="preserve"> Individual FDPs in mutation-bearing resamples, five per condition and setting; black bars, means; dashed line, nominal 5% target. </w:t>
      </w:r>
      <w:r>
        <w:rPr>
          <w:b w:val="0"/>
          <w:i w:val="0"/>
          <w:sz w:val="20"/>
        </w:rPr>
        <w:t>(</w:t>
      </w:r>
      <w:r>
        <w:rPr>
          <w:b/>
          <w:i w:val="0"/>
          <w:sz w:val="20"/>
        </w:rPr>
        <w:t>D</w:t>
      </w:r>
      <w:r>
        <w:rPr>
          <w:b w:val="0"/>
          <w:i w:val="0"/>
          <w:sz w:val="20"/>
        </w:rPr>
        <w:t>)</w:t>
      </w:r>
      <w:r>
        <w:rPr>
          <w:b w:val="0"/>
          <w:i w:val="0"/>
          <w:sz w:val="20"/>
        </w:rPr>
        <w:t xml:space="preserve">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pPr>
        <w:pageBreakBefore/>
      </w:pPr>
      <w:bookmarkStart w:id="33" w:name="tab_S2"/>
      <w:bookmarkEnd w:id="33"/>
      <w:r>
        <w:rPr>
          <w:b/>
          <w:i w:val="0"/>
          <w:sz w:val="20"/>
        </w:rPr>
        <w:t>Table S2. Datasets used to develop and validate SHMtrace, related to STAR Methods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587"/>
          </w:tcPr>
          <w:p>
            <w:pPr>
              <w:spacing w:after="0"/>
            </w:pPr>
            <w:r>
              <w:rPr>
                <w:b/>
                <w:i w:val="0"/>
                <w:sz w:val="15"/>
              </w:rPr>
              <w:t>Dataset</w:t>
            </w:r>
          </w:p>
        </w:tc>
        <w:tc>
          <w:tcPr>
            <w:tcW w:type="dxa" w:w="1134"/>
          </w:tcPr>
          <w:p>
            <w:pPr>
              <w:spacing w:after="0"/>
            </w:pPr>
            <w:r>
              <w:rPr>
                <w:b/>
                <w:i w:val="0"/>
                <w:sz w:val="15"/>
              </w:rPr>
              <w:t>Platform</w:t>
            </w:r>
          </w:p>
        </w:tc>
        <w:tc>
          <w:tcPr>
            <w:tcW w:type="dxa" w:w="1587"/>
          </w:tcPr>
          <w:p>
            <w:pPr>
              <w:spacing w:after="0"/>
            </w:pPr>
            <w:r>
              <w:rPr>
                <w:b/>
                <w:i w:val="0"/>
                <w:sz w:val="15"/>
              </w:rPr>
              <w:t>Locus (window)</w:t>
            </w:r>
          </w:p>
        </w:tc>
        <w:tc>
          <w:tcPr>
            <w:tcW w:type="dxa" w:w="1814"/>
          </w:tcPr>
          <w:p>
            <w:pPr>
              <w:spacing w:after="0"/>
            </w:pPr>
            <w:r>
              <w:rPr>
                <w:b/>
                <w:i w:val="0"/>
                <w:sz w:val="15"/>
              </w:rPr>
              <w:t>Design</w:t>
            </w:r>
          </w:p>
        </w:tc>
        <w:tc>
          <w:tcPr>
            <w:tcW w:type="dxa" w:w="1587"/>
          </w:tcPr>
          <w:p>
            <w:pPr>
              <w:spacing w:after="0"/>
            </w:pPr>
            <w:r>
              <w:rPr>
                <w:b/>
                <w:i w:val="0"/>
                <w:sz w:val="15"/>
              </w:rPr>
              <w:t>AID-null controls</w:t>
            </w:r>
          </w:p>
        </w:tc>
        <w:tc>
          <w:tcPr>
            <w:tcW w:type="dxa" w:w="1134"/>
          </w:tcPr>
          <w:p>
            <w:pPr>
              <w:spacing w:after="0"/>
            </w:pPr>
            <w:r>
              <w:rPr>
                <w:b/>
                <w:i w:val="0"/>
                <w:sz w:val="15"/>
              </w:rPr>
              <w:t>Unit of analysis</w:t>
            </w:r>
          </w:p>
        </w:tc>
        <w:tc>
          <w:tcPr>
            <w:tcW w:type="dxa" w:w="1020"/>
          </w:tcPr>
          <w:p>
            <w:pPr>
              <w:spacing w:after="0"/>
            </w:pPr>
            <w:r>
              <w:rPr>
                <w:b/>
                <w:i w:val="0"/>
                <w:sz w:val="15"/>
              </w:rPr>
              <w:t>Used for</w:t>
            </w:r>
          </w:p>
        </w:tc>
      </w:tr>
      <w:tr>
        <w:tc>
          <w:tcPr>
            <w:tcW w:type="dxa" w:w="1587"/>
          </w:tcPr>
          <w:p>
            <w:pPr>
              <w:spacing w:after="0" w:line="240" w:lineRule="auto"/>
            </w:pPr>
            <w:r>
              <w:rPr>
                <w:b w:val="0"/>
                <w:i w:val="0"/>
                <w:sz w:val="15"/>
              </w:rPr>
              <w:t>J</w:t>
            </w:r>
            <w:r>
              <w:rPr>
                <w:i w:val="0"/>
                <w:sz w:val="15"/>
                <w:vertAlign w:val="subscript"/>
              </w:rPr>
              <w:t>H</w:t>
            </w:r>
            <w:r>
              <w:rPr>
                <w:b w:val="0"/>
                <w:i w:val="0"/>
                <w:sz w:val="15"/>
              </w:rPr>
              <w:t>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 1,141 bp)</w:t>
            </w:r>
          </w:p>
        </w:tc>
        <w:tc>
          <w:tcPr>
            <w:tcW w:type="dxa" w:w="1814"/>
          </w:tcPr>
          <w:p>
            <w:pPr>
              <w:spacing w:after="0" w:line="240" w:lineRule="auto"/>
            </w:pPr>
            <w:r>
              <w:rPr>
                <w:b w:val="0"/>
                <w:i w:val="0"/>
                <w:sz w:val="15"/>
              </w:rPr>
              <w:t>GC B cells, 3 Wt mice</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same run</w:t>
            </w:r>
          </w:p>
        </w:tc>
        <w:tc>
          <w:tcPr>
            <w:tcW w:type="dxa" w:w="1134"/>
          </w:tcPr>
          <w:p>
            <w:pPr>
              <w:spacing w:after="0" w:line="240" w:lineRule="auto"/>
            </w:pPr>
            <w:r>
              <w:rPr>
                <w:b w:val="0"/>
                <w:i w:val="0"/>
                <w:sz w:val="15"/>
              </w:rPr>
              <w:t>mouse</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6" w:history="1">
              <w:r>
                <w:rPr>
                  <w:b w:val="0"/>
                  <w:i w:val="0"/>
                  <w:color w:val="1F5FA8"/>
                  <w:sz w:val="15"/>
                </w:rPr>
                <w:t>6</w:t>
              </w:r>
            </w:hyperlink>
          </w:p>
        </w:tc>
      </w:tr>
      <w:tr>
        <w:tc>
          <w:tcPr>
            <w:tcW w:type="dxa" w:w="1587"/>
          </w:tcPr>
          <w:p>
            <w:pPr>
              <w:spacing w:after="0" w:line="240" w:lineRule="auto"/>
            </w:pPr>
            <w:r>
              <w:rPr>
                <w:b w:val="0"/>
                <w:i w:val="0"/>
                <w:sz w:val="15"/>
              </w:rPr>
              <w:t>N114, this study</w:t>
            </w:r>
          </w:p>
        </w:tc>
        <w:tc>
          <w:tcPr>
            <w:tcW w:type="dxa" w:w="1134"/>
          </w:tcPr>
          <w:p>
            <w:pPr>
              <w:spacing w:after="0" w:line="240" w:lineRule="auto"/>
            </w:pPr>
            <w:r>
              <w:rPr>
                <w:b w:val="0"/>
                <w:i w:val="0"/>
                <w:sz w:val="15"/>
              </w:rPr>
              <w:t>ONT R10.4.1</w:t>
            </w:r>
          </w:p>
        </w:tc>
        <w:tc>
          <w:tcPr>
            <w:tcW w:type="dxa" w:w="1587"/>
          </w:tcPr>
          <w:p>
            <w:pPr>
              <w:spacing w:after="0" w:line="240" w:lineRule="auto"/>
            </w:pPr>
            <w:r>
              <w:rPr>
                <w:b w:val="0"/>
                <w:i w:val="0"/>
                <w:sz w:val="15"/>
              </w:rPr>
              <w:t>N114 V region (615 bp)</w:t>
            </w:r>
          </w:p>
        </w:tc>
        <w:tc>
          <w:tcPr>
            <w:tcW w:type="dxa" w:w="1814"/>
          </w:tcPr>
          <w:p>
            <w:pPr>
              <w:spacing w:after="0" w:line="240" w:lineRule="auto"/>
            </w:pPr>
            <w:r>
              <w:rPr>
                <w:b w:val="0"/>
                <w:i w:val="0"/>
                <w:sz w:val="15"/>
              </w:rPr>
              <w:t>3 pMX-</w:t>
            </w:r>
            <w:r>
              <w:rPr>
                <w:i/>
                <w:sz w:val="15"/>
              </w:rPr>
              <w:t>Aicda</w:t>
            </w:r>
            <w:r>
              <w:rPr>
                <w:b w:val="0"/>
                <w:i w:val="0"/>
                <w:sz w:val="15"/>
              </w:rPr>
              <w:t xml:space="preserve"> subclones</w:t>
            </w:r>
          </w:p>
        </w:tc>
        <w:tc>
          <w:tcPr>
            <w:tcW w:type="dxa" w:w="1587"/>
          </w:tcPr>
          <w:p>
            <w:pPr>
              <w:spacing w:after="0" w:line="240" w:lineRule="auto"/>
            </w:pPr>
            <w:r>
              <w:rPr>
                <w:b w:val="0"/>
                <w:i w:val="0"/>
                <w:sz w:val="15"/>
              </w:rPr>
              <w:t>3 empty-vector subclones</w:t>
            </w:r>
          </w:p>
        </w:tc>
        <w:tc>
          <w:tcPr>
            <w:tcW w:type="dxa" w:w="1134"/>
          </w:tcPr>
          <w:p>
            <w:pPr>
              <w:spacing w:after="0" w:line="240" w:lineRule="auto"/>
            </w:pPr>
            <w:r>
              <w:rPr>
                <w:b w:val="0"/>
                <w:i w:val="0"/>
                <w:sz w:val="15"/>
              </w:rPr>
              <w:t>subcloneᵃ</w:t>
            </w:r>
          </w:p>
        </w:tc>
        <w:tc>
          <w:tcPr>
            <w:tcW w:type="dxa" w:w="1020"/>
          </w:tcPr>
          <w:p>
            <w:pPr>
              <w:spacing w:after="0" w:line="240" w:lineRule="auto"/>
            </w:pPr>
            <w:hyperlink w:anchor="fig_2" w:history="1">
              <w:r>
                <w:rPr>
                  <w:b w:val="0"/>
                  <w:i w:val="0"/>
                  <w:color w:val="1F5FA8"/>
                  <w:sz w:val="15"/>
                </w:rPr>
                <w:t>Figures 2</w:t>
              </w:r>
            </w:hyperlink>
            <w:r>
              <w:rPr>
                <w:b w:val="0"/>
                <w:i w:val="0"/>
                <w:sz w:val="15"/>
              </w:rPr>
              <w:t>–</w:t>
            </w:r>
            <w:hyperlink w:anchor="fig_4" w:history="1">
              <w:r>
                <w:rPr>
                  <w:b w:val="0"/>
                  <w:i w:val="0"/>
                  <w:color w:val="1F5FA8"/>
                  <w:sz w:val="15"/>
                </w:rPr>
                <w:t>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same mice</w:t>
            </w:r>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26–40 clones per Wt mouse</w:t>
            </w:r>
          </w:p>
        </w:tc>
        <w:tc>
          <w:tcPr>
            <w:tcW w:type="dxa" w:w="1587"/>
          </w:tcPr>
          <w:p>
            <w:pPr>
              <w:spacing w:after="0" w:line="240" w:lineRule="auto"/>
            </w:pPr>
            <w:r>
              <w:rPr>
                <w:b w:val="0"/>
                <w:i w:val="0"/>
                <w:sz w:val="15"/>
              </w:rPr>
              <w:t xml:space="preserve">10–11 clones per </w:t>
            </w:r>
            <w:r>
              <w:rPr>
                <w:i/>
                <w:sz w:val="15"/>
              </w:rPr>
              <w:t>Aicda</w:t>
            </w:r>
            <w:r>
              <w:rPr>
                <w:i w:val="0"/>
                <w:sz w:val="15"/>
                <w:vertAlign w:val="superscript"/>
              </w:rPr>
              <w:t>−/−</w:t>
            </w:r>
            <w:r>
              <w:rPr>
                <w:b w:val="0"/>
                <w:i w:val="0"/>
                <w:sz w:val="15"/>
              </w:rPr>
              <w:t xml:space="preserve"> mouse</w:t>
            </w:r>
          </w:p>
        </w:tc>
        <w:tc>
          <w:tcPr>
            <w:tcW w:type="dxa" w:w="1134"/>
          </w:tcPr>
          <w:p>
            <w:pPr>
              <w:spacing w:after="0" w:line="240" w:lineRule="auto"/>
            </w:pPr>
            <w:r>
              <w:rPr>
                <w:b w:val="0"/>
                <w:i w:val="0"/>
                <w:sz w:val="15"/>
              </w:rPr>
              <w:t>mouseᵇ</w:t>
            </w:r>
          </w:p>
        </w:tc>
        <w:tc>
          <w:tcPr>
            <w:tcW w:type="dxa" w:w="1020"/>
          </w:tcPr>
          <w:p>
            <w:pPr>
              <w:spacing w:after="0" w:line="240" w:lineRule="auto"/>
            </w:pPr>
            <w:hyperlink w:anchor="fig_5" w:history="1">
              <w:r>
                <w:rPr>
                  <w:b w:val="0"/>
                  <w:i w:val="0"/>
                  <w:color w:val="1F5FA8"/>
                  <w:sz w:val="15"/>
                </w:rPr>
                <w:t>Figure 5</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3" w:history="1">
              <w:r>
                <w:rPr>
                  <w:i w:val="0"/>
                  <w:color w:val="1F5FA8"/>
                  <w:sz w:val="15"/>
                  <w:vertAlign w:val="superscript"/>
                </w:rPr>
                <w:t>33</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4 Wt, 4 </w:t>
            </w:r>
            <w:r>
              <w:rPr>
                <w:i/>
                <w:sz w:val="15"/>
              </w:rPr>
              <w:t>Maea</w:t>
            </w:r>
            <w:r>
              <w:rPr>
                <w:i w:val="0"/>
                <w:sz w:val="15"/>
                <w:vertAlign w:val="superscript"/>
              </w:rPr>
              <w:t>fl/fl</w:t>
            </w:r>
            <w:r>
              <w:rPr>
                <w:i/>
                <w:sz w:val="15"/>
              </w:rPr>
              <w:t>Mb1</w:t>
            </w:r>
            <w:r>
              <w:rPr>
                <w:i w:val="0"/>
                <w:sz w:val="15"/>
                <w:vertAlign w:val="superscript"/>
              </w:rPr>
              <w:t>cre</w:t>
            </w:r>
            <w:r>
              <w:rPr>
                <w:b w:val="0"/>
                <w:i w:val="0"/>
                <w:sz w:val="15"/>
              </w:rPr>
              <w:t xml:space="preserve"> mice; 20–57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 reported, 4 filed</w:t>
            </w:r>
          </w:p>
        </w:tc>
        <w:tc>
          <w:tcPr>
            <w:tcW w:type="dxa" w:w="1134"/>
          </w:tcPr>
          <w:p>
            <w:pPr>
              <w:spacing w:after="0" w:line="240" w:lineRule="auto"/>
            </w:pPr>
            <w:r>
              <w:rPr>
                <w:b w:val="0"/>
                <w:i w:val="0"/>
                <w:sz w:val="15"/>
              </w:rPr>
              <w:t>mouse</w:t>
            </w:r>
          </w:p>
        </w:tc>
        <w:tc>
          <w:tcPr>
            <w:tcW w:type="dxa" w:w="1020"/>
          </w:tcPr>
          <w:p>
            <w:pPr>
              <w:spacing w:after="0" w:line="240" w:lineRule="auto"/>
            </w:pPr>
            <w:hyperlink w:anchor="fig_S14" w:history="1">
              <w:r>
                <w:rPr>
                  <w:b w:val="0"/>
                  <w:i w:val="0"/>
                  <w:color w:val="1F5FA8"/>
                  <w:sz w:val="15"/>
                </w:rPr>
                <w:t>Figure S14</w:t>
              </w:r>
            </w:hyperlink>
          </w:p>
        </w:tc>
      </w:tr>
      <w:tr>
        <w:tc>
          <w:tcPr>
            <w:tcW w:type="dxa" w:w="1587"/>
          </w:tcPr>
          <w:p>
            <w:pPr>
              <w:spacing w:after="0" w:line="240" w:lineRule="auto"/>
            </w:pPr>
            <w:r>
              <w:rPr>
                <w:b w:val="0"/>
                <w:i w:val="0"/>
                <w:sz w:val="15"/>
              </w:rPr>
              <w:t>J</w:t>
            </w:r>
            <w:r>
              <w:rPr>
                <w:i w:val="0"/>
                <w:sz w:val="15"/>
                <w:vertAlign w:val="subscript"/>
              </w:rPr>
              <w:t>H</w:t>
            </w:r>
            <w:r>
              <w:rPr>
                <w:b w:val="0"/>
                <w:i w:val="0"/>
                <w:sz w:val="15"/>
              </w:rPr>
              <w:t>4 Sanger, published study</w:t>
            </w:r>
            <w:hyperlink w:anchor="ref_34" w:history="1">
              <w:r>
                <w:rPr>
                  <w:i w:val="0"/>
                  <w:color w:val="1F5FA8"/>
                  <w:sz w:val="15"/>
                  <w:vertAlign w:val="superscript"/>
                </w:rPr>
                <w:t>34</w:t>
              </w:r>
            </w:hyperlink>
          </w:p>
        </w:tc>
        <w:tc>
          <w:tcPr>
            <w:tcW w:type="dxa" w:w="1134"/>
          </w:tcPr>
          <w:p>
            <w:pPr>
              <w:spacing w:after="0" w:line="240" w:lineRule="auto"/>
            </w:pPr>
            <w:r>
              <w:rPr>
                <w:b w:val="0"/>
                <w:i w:val="0"/>
                <w:sz w:val="15"/>
              </w:rPr>
              <w:t>Sanger</w:t>
            </w:r>
          </w:p>
        </w:tc>
        <w:tc>
          <w:tcPr>
            <w:tcW w:type="dxa" w:w="1587"/>
          </w:tcPr>
          <w:p>
            <w:pPr>
              <w:spacing w:after="0" w:line="240" w:lineRule="auto"/>
            </w:pPr>
            <w:r>
              <w:rPr>
                <w:b w:val="0"/>
                <w:i w:val="0"/>
                <w:sz w:val="15"/>
              </w:rPr>
              <w:t>J</w:t>
            </w:r>
            <w:r>
              <w:rPr>
                <w:i w:val="0"/>
                <w:sz w:val="15"/>
                <w:vertAlign w:val="subscript"/>
              </w:rPr>
              <w:t>H</w:t>
            </w:r>
            <w:r>
              <w:rPr>
                <w:b w:val="0"/>
                <w:i w:val="0"/>
                <w:sz w:val="15"/>
              </w:rPr>
              <w:t>4 intron (529 bp)</w:t>
            </w:r>
          </w:p>
        </w:tc>
        <w:tc>
          <w:tcPr>
            <w:tcW w:type="dxa" w:w="1814"/>
          </w:tcPr>
          <w:p>
            <w:pPr>
              <w:spacing w:after="0" w:line="240" w:lineRule="auto"/>
            </w:pPr>
            <w:r>
              <w:rPr>
                <w:b w:val="0"/>
                <w:i w:val="0"/>
                <w:sz w:val="15"/>
              </w:rPr>
              <w:t xml:space="preserve">3 Wt, 3 </w:t>
            </w:r>
            <w:r>
              <w:rPr>
                <w:i/>
                <w:sz w:val="15"/>
              </w:rPr>
              <w:t>Mkln1</w:t>
            </w:r>
            <w:r>
              <w:rPr>
                <w:i w:val="0"/>
                <w:sz w:val="15"/>
                <w:vertAlign w:val="superscript"/>
              </w:rPr>
              <w:t>−/−</w:t>
            </w:r>
            <w:r>
              <w:rPr>
                <w:b w:val="0"/>
                <w:i w:val="0"/>
                <w:sz w:val="15"/>
              </w:rPr>
              <w:t xml:space="preserve"> mice; 24–93 clones each</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S15" w:history="1">
              <w:r>
                <w:rPr>
                  <w:b w:val="0"/>
                  <w:i w:val="0"/>
                  <w:color w:val="1F5FA8"/>
                  <w:sz w:val="15"/>
                </w:rPr>
                <w:t>Figure S15</w:t>
              </w:r>
            </w:hyperlink>
          </w:p>
        </w:tc>
      </w:tr>
      <w:tr>
        <w:tc>
          <w:tcPr>
            <w:tcW w:type="dxa" w:w="1587"/>
          </w:tcPr>
          <w:p>
            <w:pPr>
              <w:spacing w:after="0" w:line="240" w:lineRule="auto"/>
            </w:pPr>
            <w:r>
              <w:rPr>
                <w:b w:val="0"/>
                <w:i w:val="0"/>
                <w:sz w:val="15"/>
              </w:rPr>
              <w:t>PRJNA1481264, Sμ</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Sμ (611 bp)</w:t>
            </w:r>
          </w:p>
        </w:tc>
        <w:tc>
          <w:tcPr>
            <w:tcW w:type="dxa" w:w="1814"/>
          </w:tcPr>
          <w:p>
            <w:pPr>
              <w:spacing w:after="0" w:line="240" w:lineRule="auto"/>
            </w:pPr>
            <w:r>
              <w:rPr>
                <w:b w:val="0"/>
                <w:i w:val="0"/>
                <w:sz w:val="15"/>
              </w:rPr>
              <w:t>3 LPS blasts; 4 CH12</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 xml:space="preserve">PRJNA1481264, </w:t>
            </w:r>
            <w:r>
              <w:rPr>
                <w:i/>
                <w:sz w:val="15"/>
              </w:rPr>
              <w:t>Pim1</w:t>
            </w:r>
          </w:p>
        </w:tc>
        <w:tc>
          <w:tcPr>
            <w:tcW w:type="dxa" w:w="1134"/>
          </w:tcPr>
          <w:p>
            <w:pPr>
              <w:spacing w:after="0" w:line="240" w:lineRule="auto"/>
            </w:pPr>
            <w:r>
              <w:rPr>
                <w:b w:val="0"/>
                <w:i w:val="0"/>
                <w:sz w:val="15"/>
              </w:rPr>
              <w:t>ONT</w:t>
            </w:r>
          </w:p>
        </w:tc>
        <w:tc>
          <w:tcPr>
            <w:tcW w:type="dxa" w:w="1587"/>
          </w:tcPr>
          <w:p>
            <w:pPr>
              <w:spacing w:after="0" w:line="240" w:lineRule="auto"/>
            </w:pPr>
            <w:r>
              <w:rPr>
                <w:i/>
                <w:sz w:val="15"/>
              </w:rPr>
              <w:t>Pim1</w:t>
            </w:r>
            <w:r>
              <w:rPr>
                <w:b w:val="0"/>
                <w:i w:val="0"/>
                <w:sz w:val="15"/>
              </w:rPr>
              <w:t xml:space="preserve"> (862 bp)</w:t>
            </w:r>
          </w:p>
        </w:tc>
        <w:tc>
          <w:tcPr>
            <w:tcW w:type="dxa" w:w="1814"/>
          </w:tcPr>
          <w:p>
            <w:pPr>
              <w:spacing w:after="0" w:line="240" w:lineRule="auto"/>
            </w:pPr>
            <w:r>
              <w:rPr>
                <w:b w:val="0"/>
                <w:i w:val="0"/>
                <w:sz w:val="15"/>
              </w:rPr>
              <w:t>3 LPS blasts</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p>
        </w:tc>
        <w:tc>
          <w:tcPr>
            <w:tcW w:type="dxa" w:w="1134"/>
          </w:tcPr>
          <w:p>
            <w:pPr>
              <w:spacing w:after="0" w:line="240" w:lineRule="auto"/>
            </w:pPr>
            <w:r>
              <w:rPr>
                <w:b w:val="0"/>
                <w:i w:val="0"/>
                <w:sz w:val="15"/>
              </w:rPr>
              <w:t>culture</w:t>
            </w:r>
          </w:p>
        </w:tc>
        <w:tc>
          <w:tcPr>
            <w:tcW w:type="dxa" w:w="1020"/>
          </w:tcPr>
          <w:p>
            <w:pPr>
              <w:spacing w:after="0" w:line="240" w:lineRule="auto"/>
            </w:pPr>
            <w:hyperlink w:anchor="fig_2" w:history="1">
              <w:r>
                <w:rPr>
                  <w:b w:val="0"/>
                  <w:i w:val="0"/>
                  <w:color w:val="1F5FA8"/>
                  <w:sz w:val="15"/>
                </w:rPr>
                <w:t>Figures 2</w:t>
              </w:r>
            </w:hyperlink>
            <w:r>
              <w:rPr>
                <w:b w:val="0"/>
                <w:i w:val="0"/>
                <w:sz w:val="15"/>
              </w:rPr>
              <w:t xml:space="preserve"> and </w:t>
            </w:r>
            <w:hyperlink w:anchor="fig_4" w:history="1">
              <w:r>
                <w:rPr>
                  <w:b w:val="0"/>
                  <w:i w:val="0"/>
                  <w:color w:val="1F5FA8"/>
                  <w:sz w:val="15"/>
                </w:rPr>
                <w:t>4</w:t>
              </w:r>
            </w:hyperlink>
          </w:p>
        </w:tc>
      </w:tr>
      <w:tr>
        <w:tc>
          <w:tcPr>
            <w:tcW w:type="dxa" w:w="1587"/>
          </w:tcPr>
          <w:p>
            <w:pPr>
              <w:spacing w:after="0" w:line="240" w:lineRule="auto"/>
            </w:pPr>
            <w:r>
              <w:rPr>
                <w:b w:val="0"/>
                <w:i w:val="0"/>
                <w:sz w:val="15"/>
              </w:rPr>
              <w:t>PRJNA1481264, CH12 off-targets 1 and 2</w:t>
            </w:r>
          </w:p>
        </w:tc>
        <w:tc>
          <w:tcPr>
            <w:tcW w:type="dxa" w:w="1134"/>
          </w:tcPr>
          <w:p>
            <w:pPr>
              <w:spacing w:after="0" w:line="240" w:lineRule="auto"/>
            </w:pPr>
            <w:r>
              <w:rPr>
                <w:b w:val="0"/>
                <w:i w:val="0"/>
                <w:sz w:val="15"/>
              </w:rPr>
              <w:t>ONT</w:t>
            </w:r>
          </w:p>
        </w:tc>
        <w:tc>
          <w:tcPr>
            <w:tcW w:type="dxa" w:w="1587"/>
          </w:tcPr>
          <w:p>
            <w:pPr>
              <w:spacing w:after="0" w:line="240" w:lineRule="auto"/>
            </w:pPr>
            <w:r>
              <w:rPr>
                <w:b w:val="0"/>
                <w:i w:val="0"/>
                <w:sz w:val="15"/>
              </w:rPr>
              <w:t>AID off-targets (968 and 942 bp)</w:t>
            </w:r>
          </w:p>
        </w:tc>
        <w:tc>
          <w:tcPr>
            <w:tcW w:type="dxa" w:w="1814"/>
          </w:tcPr>
          <w:p>
            <w:pPr>
              <w:spacing w:after="0" w:line="240" w:lineRule="auto"/>
            </w:pPr>
            <w:r>
              <w:rPr>
                <w:b w:val="0"/>
                <w:i w:val="0"/>
                <w:sz w:val="15"/>
              </w:rPr>
              <w:t xml:space="preserve">3 CH12 wild type, 3 </w:t>
            </w:r>
            <w:r>
              <w:rPr>
                <w:i/>
                <w:sz w:val="15"/>
              </w:rPr>
              <w:t>Mllt1</w:t>
            </w:r>
            <w:r>
              <w:rPr>
                <w:b w:val="0"/>
                <w:i w:val="0"/>
                <w:sz w:val="15"/>
              </w:rPr>
              <w:t>/</w:t>
            </w:r>
            <w:r>
              <w:rPr>
                <w:i/>
                <w:sz w:val="15"/>
              </w:rPr>
              <w:t>Mllt3</w:t>
            </w:r>
            <w:r>
              <w:rPr>
                <w:b w:val="0"/>
                <w:i w:val="0"/>
                <w:sz w:val="15"/>
              </w:rPr>
              <w:t xml:space="preserve"> double knockout</w:t>
            </w:r>
          </w:p>
        </w:tc>
        <w:tc>
          <w:tcPr>
            <w:tcW w:type="dxa" w:w="1587"/>
          </w:tcPr>
          <w:p>
            <w:pPr>
              <w:spacing w:after="0" w:line="240" w:lineRule="auto"/>
            </w:pPr>
            <w:r>
              <w:rPr>
                <w:b w:val="0"/>
                <w:i w:val="0"/>
                <w:sz w:val="15"/>
              </w:rPr>
              <w:t xml:space="preserve">3 </w:t>
            </w:r>
            <w:r>
              <w:rPr>
                <w:i/>
                <w:sz w:val="15"/>
              </w:rPr>
              <w:t>Aicda</w:t>
            </w:r>
            <w:r>
              <w:rPr>
                <w:i w:val="0"/>
                <w:sz w:val="15"/>
                <w:vertAlign w:val="superscript"/>
              </w:rPr>
              <w:t>−/−</w:t>
            </w:r>
            <w:r>
              <w:rPr>
                <w:b w:val="0"/>
                <w:i w:val="0"/>
                <w:sz w:val="15"/>
              </w:rPr>
              <w:t xml:space="preserve"> each</w:t>
            </w:r>
          </w:p>
        </w:tc>
        <w:tc>
          <w:tcPr>
            <w:tcW w:type="dxa" w:w="1134"/>
          </w:tcPr>
          <w:p>
            <w:pPr>
              <w:spacing w:after="0" w:line="240" w:lineRule="auto"/>
            </w:pPr>
            <w:r>
              <w:rPr>
                <w:b w:val="0"/>
                <w:i w:val="0"/>
                <w:sz w:val="15"/>
              </w:rPr>
              <w:t>culture</w:t>
            </w:r>
          </w:p>
        </w:tc>
        <w:tc>
          <w:tcPr>
            <w:tcW w:type="dxa" w:w="1020"/>
          </w:tcPr>
          <w:p>
            <w:pPr>
              <w:spacing w:after="0" w:line="240" w:lineRule="auto"/>
            </w:pPr>
            <w:hyperlink w:anchor="fig_4" w:history="1">
              <w:r>
                <w:rPr>
                  <w:b w:val="0"/>
                  <w:i w:val="0"/>
                  <w:color w:val="1F5FA8"/>
                  <w:sz w:val="15"/>
                </w:rPr>
                <w:t>Figure 4</w:t>
              </w:r>
            </w:hyperlink>
          </w:p>
        </w:tc>
      </w:tr>
      <w:tr>
        <w:tc>
          <w:tcPr>
            <w:tcW w:type="dxa" w:w="1587"/>
          </w:tcPr>
          <w:p>
            <w:pPr>
              <w:spacing w:after="0" w:line="240" w:lineRule="auto"/>
            </w:pPr>
            <w:r>
              <w:rPr>
                <w:b w:val="0"/>
                <w:i w:val="0"/>
                <w:sz w:val="15"/>
              </w:rPr>
              <w:t>PRJNA973112</w:t>
            </w:r>
            <w:hyperlink w:anchor="ref_36" w:history="1">
              <w:r>
                <w:rPr>
                  <w:i w:val="0"/>
                  <w:color w:val="1F5FA8"/>
                  <w:sz w:val="15"/>
                  <w:vertAlign w:val="superscript"/>
                </w:rPr>
                <w:t>36</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J</w:t>
            </w:r>
            <w:r>
              <w:rPr>
                <w:i w:val="0"/>
                <w:sz w:val="15"/>
                <w:vertAlign w:val="subscript"/>
              </w:rPr>
              <w:t>H</w:t>
            </w:r>
            <w:r>
              <w:rPr>
                <w:b w:val="0"/>
                <w:i w:val="0"/>
                <w:sz w:val="15"/>
              </w:rPr>
              <w:t>4 (70 bp)</w:t>
            </w:r>
          </w:p>
        </w:tc>
        <w:tc>
          <w:tcPr>
            <w:tcW w:type="dxa" w:w="1814"/>
          </w:tcPr>
          <w:p>
            <w:pPr>
              <w:spacing w:after="0" w:line="240" w:lineRule="auto"/>
            </w:pPr>
            <w:r>
              <w:rPr>
                <w:b w:val="0"/>
                <w:i w:val="0"/>
                <w:sz w:val="15"/>
              </w:rPr>
              <w:t xml:space="preserve">7 Wt, 7 </w:t>
            </w:r>
            <w:r>
              <w:rPr>
                <w:i/>
                <w:sz w:val="15"/>
              </w:rPr>
              <w:t>Ldha</w:t>
            </w:r>
            <w:r>
              <w:rPr>
                <w:b w:val="0"/>
                <w:i w:val="0"/>
                <w:sz w:val="15"/>
              </w:rPr>
              <w:t>-deleted mice</w:t>
            </w:r>
          </w:p>
        </w:tc>
        <w:tc>
          <w:tcPr>
            <w:tcW w:type="dxa" w:w="1587"/>
          </w:tcPr>
          <w:p>
            <w:pPr>
              <w:spacing w:after="0" w:line="240" w:lineRule="auto"/>
            </w:pPr>
            <w:r>
              <w:rPr>
                <w:b w:val="0"/>
                <w:i w:val="0"/>
                <w:sz w:val="15"/>
              </w:rPr>
              <w:t>4 AID-null mice</w:t>
            </w:r>
          </w:p>
        </w:tc>
        <w:tc>
          <w:tcPr>
            <w:tcW w:type="dxa" w:w="1134"/>
          </w:tcPr>
          <w:p>
            <w:pPr>
              <w:spacing w:after="0" w:line="240" w:lineRule="auto"/>
            </w:pPr>
            <w:r>
              <w:rPr>
                <w:b w:val="0"/>
                <w:i w:val="0"/>
                <w:sz w:val="15"/>
              </w:rPr>
              <w:t>mouse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PRJNA918596</w:t>
            </w:r>
            <w:hyperlink w:anchor="ref_37" w:history="1">
              <w:r>
                <w:rPr>
                  <w:i w:val="0"/>
                  <w:color w:val="1F5FA8"/>
                  <w:sz w:val="15"/>
                  <w:vertAlign w:val="superscript"/>
                </w:rPr>
                <w:t>37</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VDJ (229 bp)</w:t>
            </w:r>
          </w:p>
        </w:tc>
        <w:tc>
          <w:tcPr>
            <w:tcW w:type="dxa" w:w="1814"/>
          </w:tcPr>
          <w:p>
            <w:pPr>
              <w:spacing w:after="0" w:line="240" w:lineRule="auto"/>
            </w:pPr>
            <w:r>
              <w:rPr>
                <w:b w:val="0"/>
                <w:i w:val="0"/>
                <w:sz w:val="15"/>
              </w:rPr>
              <w:t>AID, R50E, R174E/R178E (4 each)</w:t>
            </w:r>
          </w:p>
        </w:tc>
        <w:tc>
          <w:tcPr>
            <w:tcW w:type="dxa" w:w="1587"/>
          </w:tcPr>
          <w:p>
            <w:pPr>
              <w:spacing w:after="0" w:line="240" w:lineRule="auto"/>
            </w:pPr>
            <w:r>
              <w:rPr>
                <w:b w:val="0"/>
                <w:i w:val="0"/>
                <w:sz w:val="15"/>
              </w:rPr>
              <w:t>4 empty-vector replicates</w:t>
            </w:r>
          </w:p>
        </w:tc>
        <w:tc>
          <w:tcPr>
            <w:tcW w:type="dxa" w:w="1134"/>
          </w:tcPr>
          <w:p>
            <w:pPr>
              <w:spacing w:after="0" w:line="240" w:lineRule="auto"/>
            </w:pPr>
            <w:r>
              <w:rPr>
                <w:b w:val="0"/>
                <w:i w:val="0"/>
                <w:sz w:val="15"/>
              </w:rPr>
              <w:t>replicateᶜ</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PRJNA820976</w:t>
            </w:r>
            <w:hyperlink w:anchor="ref_38" w:history="1">
              <w:r>
                <w:rPr>
                  <w:i w:val="0"/>
                  <w:color w:val="1F5FA8"/>
                  <w:sz w:val="15"/>
                  <w:vertAlign w:val="superscript"/>
                </w:rPr>
                <w:t>38</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IGH VDJ (421 bp)</w:t>
            </w:r>
          </w:p>
        </w:tc>
        <w:tc>
          <w:tcPr>
            <w:tcW w:type="dxa" w:w="1814"/>
          </w:tcPr>
          <w:p>
            <w:pPr>
              <w:spacing w:after="0" w:line="240" w:lineRule="auto"/>
            </w:pPr>
            <w:r>
              <w:rPr>
                <w:b w:val="0"/>
                <w:i w:val="0"/>
                <w:sz w:val="15"/>
              </w:rPr>
              <w:t>6 Wt, 6 HMCES-KO clones</w:t>
            </w:r>
          </w:p>
        </w:tc>
        <w:tc>
          <w:tcPr>
            <w:tcW w:type="dxa" w:w="1587"/>
          </w:tcPr>
          <w:p>
            <w:pPr>
              <w:spacing w:after="0" w:line="240" w:lineRule="auto"/>
            </w:pPr>
            <w:r>
              <w:rPr>
                <w:b w:val="0"/>
                <w:i w:val="0"/>
                <w:sz w:val="15"/>
              </w:rPr>
              <w:t>3 AID-KO clones</w:t>
            </w:r>
          </w:p>
        </w:tc>
        <w:tc>
          <w:tcPr>
            <w:tcW w:type="dxa" w:w="1134"/>
          </w:tcPr>
          <w:p>
            <w:pPr>
              <w:spacing w:after="0" w:line="240" w:lineRule="auto"/>
            </w:pPr>
            <w:r>
              <w:rPr>
                <w:b w:val="0"/>
                <w:i w:val="0"/>
                <w:sz w:val="15"/>
              </w:rPr>
              <w:t>clone</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Karst et al.</w:t>
            </w:r>
            <w:hyperlink w:anchor="ref_44" w:history="1">
              <w:r>
                <w:rPr>
                  <w:i w:val="0"/>
                  <w:color w:val="1F5FA8"/>
                  <w:sz w:val="15"/>
                  <w:vertAlign w:val="superscript"/>
                </w:rPr>
                <w:t>44</w:t>
              </w:r>
            </w:hyperlink>
          </w:p>
        </w:tc>
        <w:tc>
          <w:tcPr>
            <w:tcW w:type="dxa" w:w="1134"/>
          </w:tcPr>
          <w:p>
            <w:pPr>
              <w:spacing w:after="0" w:line="240" w:lineRule="auto"/>
            </w:pPr>
            <w:r>
              <w:rPr>
                <w:b w:val="0"/>
                <w:i w:val="0"/>
                <w:sz w:val="15"/>
              </w:rPr>
              <w:t>ONT R10, dual UMI</w:t>
            </w:r>
          </w:p>
        </w:tc>
        <w:tc>
          <w:tcPr>
            <w:tcW w:type="dxa" w:w="1587"/>
          </w:tcPr>
          <w:p>
            <w:pPr>
              <w:spacing w:after="0" w:line="240" w:lineRule="auto"/>
            </w:pPr>
            <w:r>
              <w:rPr>
                <w:b w:val="0"/>
                <w:i w:val="0"/>
                <w:sz w:val="15"/>
              </w:rPr>
              <w:t>rRNA operons (4.4 kb)</w:t>
            </w:r>
          </w:p>
        </w:tc>
        <w:tc>
          <w:tcPr>
            <w:tcW w:type="dxa" w:w="1814"/>
          </w:tcPr>
          <w:p>
            <w:pPr>
              <w:spacing w:after="0" w:line="240" w:lineRule="auto"/>
            </w:pPr>
            <w:r>
              <w:rPr>
                <w:b w:val="0"/>
                <w:i w:val="0"/>
                <w:sz w:val="15"/>
              </w:rPr>
              <w:t>103 molecules</w:t>
            </w:r>
          </w:p>
        </w:tc>
        <w:tc>
          <w:tcPr>
            <w:tcW w:type="dxa" w:w="1587"/>
          </w:tcPr>
          <w:p>
            <w:pPr>
              <w:spacing w:after="0" w:line="240" w:lineRule="auto"/>
            </w:pPr>
            <w:r>
              <w:rPr>
                <w:b w:val="0"/>
                <w:i w:val="0"/>
                <w:sz w:val="15"/>
              </w:rPr>
              <w:t>known sequences</w:t>
            </w:r>
          </w:p>
        </w:tc>
        <w:tc>
          <w:tcPr>
            <w:tcW w:type="dxa" w:w="1134"/>
          </w:tcPr>
          <w:p>
            <w:pPr>
              <w:spacing w:after="0" w:line="240" w:lineRule="auto"/>
            </w:pPr>
            <w:r>
              <w:rPr>
                <w:b w:val="0"/>
                <w:i w:val="0"/>
                <w:sz w:val="15"/>
              </w:rPr>
              <w:t>molecule</w:t>
            </w:r>
          </w:p>
        </w:tc>
        <w:tc>
          <w:tcPr>
            <w:tcW w:type="dxa" w:w="1020"/>
          </w:tcPr>
          <w:p>
            <w:pPr>
              <w:spacing w:after="0" w:line="240" w:lineRule="auto"/>
            </w:pPr>
            <w:hyperlink w:anchor="fig_S8" w:history="1">
              <w:r>
                <w:rPr>
                  <w:b w:val="0"/>
                  <w:i w:val="0"/>
                  <w:color w:val="1F5FA8"/>
                  <w:sz w:val="15"/>
                </w:rPr>
                <w:t>Figure S8H</w:t>
              </w:r>
            </w:hyperlink>
          </w:p>
        </w:tc>
      </w:tr>
      <w:tr>
        <w:tc>
          <w:tcPr>
            <w:tcW w:type="dxa" w:w="1587"/>
          </w:tcPr>
          <w:p>
            <w:pPr>
              <w:spacing w:after="0" w:line="240" w:lineRule="auto"/>
            </w:pPr>
            <w:r>
              <w:rPr>
                <w:b w:val="0"/>
                <w:i w:val="0"/>
                <w:sz w:val="15"/>
              </w:rPr>
              <w:t>SW</w:t>
            </w:r>
            <w:r>
              <w:rPr>
                <w:i w:val="0"/>
                <w:sz w:val="15"/>
                <w:vertAlign w:val="subscript"/>
              </w:rPr>
              <w:t>HEL</w:t>
            </w:r>
            <w:r>
              <w:rPr>
                <w:b w:val="0"/>
                <w:i w:val="0"/>
                <w:sz w:val="15"/>
              </w:rPr>
              <w:t xml:space="preserve"> Sanger, published study</w:t>
            </w:r>
            <w:hyperlink w:anchor="ref_35" w:history="1">
              <w:r>
                <w:rPr>
                  <w:i w:val="0"/>
                  <w:color w:val="1F5FA8"/>
                  <w:sz w:val="15"/>
                  <w:vertAlign w:val="superscript"/>
                </w:rPr>
                <w:t>35</w:t>
              </w:r>
            </w:hyperlink>
          </w:p>
        </w:tc>
        <w:tc>
          <w:tcPr>
            <w:tcW w:type="dxa" w:w="1134"/>
          </w:tcPr>
          <w:p>
            <w:pPr>
              <w:spacing w:after="0" w:line="240" w:lineRule="auto"/>
            </w:pPr>
            <w:r>
              <w:rPr>
                <w:b w:val="0"/>
                <w:i w:val="0"/>
                <w:sz w:val="15"/>
              </w:rPr>
              <w:t>Sanger (GenBank)</w:t>
            </w:r>
          </w:p>
        </w:tc>
        <w:tc>
          <w:tcPr>
            <w:tcW w:type="dxa" w:w="1587"/>
          </w:tcPr>
          <w:p>
            <w:pPr>
              <w:spacing w:after="0" w:line="240" w:lineRule="auto"/>
            </w:pPr>
            <w:r>
              <w:rPr>
                <w:b w:val="0"/>
                <w:i w:val="0"/>
                <w:sz w:val="15"/>
              </w:rPr>
              <w:t>SW</w:t>
            </w:r>
            <w:r>
              <w:rPr>
                <w:i w:val="0"/>
                <w:sz w:val="15"/>
                <w:vertAlign w:val="subscript"/>
              </w:rPr>
              <w:t>HEL</w:t>
            </w:r>
            <w:r>
              <w:rPr>
                <w:b w:val="0"/>
                <w:i w:val="0"/>
                <w:sz w:val="15"/>
              </w:rPr>
              <w:t xml:space="preserve"> V</w:t>
            </w:r>
            <w:r>
              <w:rPr>
                <w:i w:val="0"/>
                <w:sz w:val="15"/>
                <w:vertAlign w:val="subscript"/>
              </w:rPr>
              <w:t>H</w:t>
            </w:r>
            <w:r>
              <w:rPr>
                <w:b w:val="0"/>
                <w:i w:val="0"/>
                <w:sz w:val="15"/>
              </w:rPr>
              <w:t>10 (558 bp)</w:t>
            </w:r>
          </w:p>
        </w:tc>
        <w:tc>
          <w:tcPr>
            <w:tcW w:type="dxa" w:w="1814"/>
          </w:tcPr>
          <w:p>
            <w:pPr>
              <w:spacing w:after="0" w:line="240" w:lineRule="auto"/>
            </w:pPr>
            <w:r>
              <w:rPr>
                <w:i/>
                <w:sz w:val="15"/>
              </w:rPr>
              <w:t>Samhd1</w:t>
            </w:r>
            <w:r>
              <w:rPr>
                <w:b w:val="0"/>
                <w:i w:val="0"/>
                <w:sz w:val="15"/>
              </w:rPr>
              <w:t xml:space="preserve">, </w:t>
            </w:r>
            <w:r>
              <w:rPr>
                <w:i/>
                <w:sz w:val="15"/>
              </w:rPr>
              <w:t>Msh2</w:t>
            </w:r>
            <w:r>
              <w:rPr>
                <w:b w:val="0"/>
                <w:i w:val="0"/>
                <w:sz w:val="15"/>
              </w:rPr>
              <w:t xml:space="preserve"> and double mutants, UGI arm; 1,795 clones</w:t>
            </w:r>
          </w:p>
        </w:tc>
        <w:tc>
          <w:tcPr>
            <w:tcW w:type="dxa" w:w="1587"/>
          </w:tcPr>
          <w:p>
            <w:pPr>
              <w:spacing w:after="0" w:line="240" w:lineRule="auto"/>
            </w:pPr>
            <w:r>
              <w:rPr>
                <w:b w:val="0"/>
                <w:i w:val="0"/>
                <w:sz w:val="15"/>
              </w:rPr>
              <w:t>none</w:t>
            </w:r>
          </w:p>
        </w:tc>
        <w:tc>
          <w:tcPr>
            <w:tcW w:type="dxa" w:w="1134"/>
          </w:tcPr>
          <w:p>
            <w:pPr>
              <w:spacing w:after="0" w:line="240" w:lineRule="auto"/>
            </w:pPr>
            <w:r>
              <w:rPr>
                <w:b w:val="0"/>
                <w:i w:val="0"/>
                <w:sz w:val="15"/>
              </w:rPr>
              <w:t>host animal</w:t>
            </w:r>
          </w:p>
        </w:tc>
        <w:tc>
          <w:tcPr>
            <w:tcW w:type="dxa" w:w="1020"/>
          </w:tcPr>
          <w:p>
            <w:pPr>
              <w:spacing w:after="0" w:line="240" w:lineRule="auto"/>
            </w:pPr>
            <w:hyperlink w:anchor="fig_S16" w:history="1">
              <w:r>
                <w:rPr>
                  <w:b w:val="0"/>
                  <w:i w:val="0"/>
                  <w:color w:val="1F5FA8"/>
                  <w:sz w:val="15"/>
                </w:rPr>
                <w:t>Figure S16</w:t>
              </w:r>
            </w:hyperlink>
          </w:p>
        </w:tc>
      </w:tr>
      <w:tr>
        <w:tc>
          <w:tcPr>
            <w:tcW w:type="dxa" w:w="1587"/>
          </w:tcPr>
          <w:p>
            <w:pPr>
              <w:spacing w:after="0" w:line="240" w:lineRule="auto"/>
            </w:pPr>
            <w:r>
              <w:rPr>
                <w:b w:val="0"/>
                <w:i w:val="0"/>
                <w:sz w:val="15"/>
              </w:rPr>
              <w:t>PRJNA170048</w:t>
            </w:r>
            <w:hyperlink w:anchor="ref_39" w:history="1">
              <w:r>
                <w:rPr>
                  <w:i w:val="0"/>
                  <w:color w:val="1F5FA8"/>
                  <w:sz w:val="15"/>
                  <w:vertAlign w:val="superscript"/>
                </w:rPr>
                <w:t>39</w:t>
              </w:r>
            </w:hyperlink>
          </w:p>
        </w:tc>
        <w:tc>
          <w:tcPr>
            <w:tcW w:type="dxa" w:w="1134"/>
          </w:tcPr>
          <w:p>
            <w:pPr>
              <w:spacing w:after="0" w:line="240" w:lineRule="auto"/>
            </w:pPr>
            <w:r>
              <w:rPr>
                <w:b w:val="0"/>
                <w:i w:val="0"/>
                <w:sz w:val="15"/>
              </w:rPr>
              <w:t>Illumina (36 bp)</w:t>
            </w:r>
          </w:p>
        </w:tc>
        <w:tc>
          <w:tcPr>
            <w:tcW w:type="dxa" w:w="1587"/>
          </w:tcPr>
          <w:p>
            <w:pPr>
              <w:spacing w:after="0" w:line="240" w:lineRule="auto"/>
            </w:pPr>
            <w:r>
              <w:rPr>
                <w:b w:val="0"/>
                <w:i w:val="0"/>
                <w:sz w:val="15"/>
              </w:rPr>
              <w:t>mOrange reporter (619 bp)</w:t>
            </w:r>
          </w:p>
        </w:tc>
        <w:tc>
          <w:tcPr>
            <w:tcW w:type="dxa" w:w="1814"/>
          </w:tcPr>
          <w:p>
            <w:pPr>
              <w:spacing w:after="0" w:line="240" w:lineRule="auto"/>
            </w:pPr>
            <w:r>
              <w:rPr>
                <w:b w:val="0"/>
                <w:i w:val="0"/>
                <w:sz w:val="15"/>
              </w:rPr>
              <w:t>AID-ER in NIH-3T3 cells, 3 experiments x 3 repair contexts</w:t>
            </w:r>
          </w:p>
        </w:tc>
        <w:tc>
          <w:tcPr>
            <w:tcW w:type="dxa" w:w="1587"/>
          </w:tcPr>
          <w:p>
            <w:pPr>
              <w:spacing w:after="0" w:line="240" w:lineRule="auto"/>
            </w:pPr>
            <w:r>
              <w:rPr>
                <w:b w:val="0"/>
                <w:i w:val="0"/>
                <w:sz w:val="15"/>
              </w:rPr>
              <w:t>catalytically dead AID-E58Q-ER</w:t>
            </w:r>
          </w:p>
        </w:tc>
        <w:tc>
          <w:tcPr>
            <w:tcW w:type="dxa" w:w="1134"/>
          </w:tcPr>
          <w:p>
            <w:pPr>
              <w:spacing w:after="0" w:line="240" w:lineRule="auto"/>
            </w:pPr>
            <w:r>
              <w:rPr>
                <w:b w:val="0"/>
                <w:i w:val="0"/>
                <w:sz w:val="15"/>
              </w:rPr>
              <w:t>experiment</w:t>
            </w:r>
          </w:p>
        </w:tc>
        <w:tc>
          <w:tcPr>
            <w:tcW w:type="dxa" w:w="1020"/>
          </w:tcPr>
          <w:p>
            <w:pPr>
              <w:spacing w:after="0" w:line="240" w:lineRule="auto"/>
            </w:pPr>
            <w:hyperlink w:anchor="fig_7" w:history="1">
              <w:r>
                <w:rPr>
                  <w:b w:val="0"/>
                  <w:i w:val="0"/>
                  <w:color w:val="1F5FA8"/>
                  <w:sz w:val="15"/>
                </w:rPr>
                <w:t>Figure 7</w:t>
              </w:r>
            </w:hyperlink>
          </w:p>
        </w:tc>
      </w:tr>
      <w:tr>
        <w:tc>
          <w:tcPr>
            <w:tcW w:type="dxa" w:w="1587"/>
          </w:tcPr>
          <w:p>
            <w:pPr>
              <w:spacing w:after="0" w:line="240" w:lineRule="auto"/>
            </w:pPr>
            <w:r>
              <w:rPr>
                <w:b w:val="0"/>
                <w:i w:val="0"/>
                <w:sz w:val="15"/>
              </w:rPr>
              <w:t>PRJNA831666</w:t>
            </w:r>
            <w:hyperlink w:anchor="ref_43" w:history="1">
              <w:r>
                <w:rPr>
                  <w:i w:val="0"/>
                  <w:color w:val="1F5FA8"/>
                  <w:sz w:val="15"/>
                  <w:vertAlign w:val="superscript"/>
                </w:rPr>
                <w:t>43</w:t>
              </w:r>
            </w:hyperlink>
          </w:p>
        </w:tc>
        <w:tc>
          <w:tcPr>
            <w:tcW w:type="dxa" w:w="1134"/>
          </w:tcPr>
          <w:p>
            <w:pPr>
              <w:spacing w:after="0" w:line="240" w:lineRule="auto"/>
            </w:pPr>
            <w:r>
              <w:rPr>
                <w:b w:val="0"/>
                <w:i w:val="0"/>
                <w:sz w:val="15"/>
              </w:rPr>
              <w:t>PacBio</w:t>
            </w:r>
          </w:p>
        </w:tc>
        <w:tc>
          <w:tcPr>
            <w:tcW w:type="dxa" w:w="1587"/>
          </w:tcPr>
          <w:p>
            <w:pPr>
              <w:spacing w:after="0" w:line="240" w:lineRule="auto"/>
            </w:pPr>
            <w:r>
              <w:rPr>
                <w:b w:val="0"/>
                <w:i w:val="0"/>
                <w:sz w:val="15"/>
              </w:rPr>
              <w:t>Sμ–Sγ1 switch junctions</w:t>
            </w:r>
          </w:p>
        </w:tc>
        <w:tc>
          <w:tcPr>
            <w:tcW w:type="dxa" w:w="1814"/>
          </w:tcPr>
          <w:p>
            <w:pPr>
              <w:spacing w:after="0" w:line="240" w:lineRule="auto"/>
            </w:pPr>
            <w:r>
              <w:rPr>
                <w:b w:val="0"/>
                <w:i w:val="0"/>
                <w:sz w:val="15"/>
              </w:rPr>
              <w:t xml:space="preserve">3 Wt, 3 </w:t>
            </w:r>
            <w:r>
              <w:rPr>
                <w:i/>
                <w:sz w:val="15"/>
              </w:rPr>
              <w:t>Shld1</w:t>
            </w:r>
            <w:r>
              <w:rPr>
                <w:b w:val="0"/>
                <w:i w:val="0"/>
                <w:sz w:val="15"/>
              </w:rPr>
              <w:t xml:space="preserve">, 3 </w:t>
            </w:r>
            <w:r>
              <w:rPr>
                <w:i/>
                <w:sz w:val="15"/>
              </w:rPr>
              <w:t>Xlf</w:t>
            </w:r>
            <w:r>
              <w:rPr>
                <w:b w:val="0"/>
                <w:i w:val="0"/>
                <w:sz w:val="15"/>
              </w:rPr>
              <w:t>, 3 double</w:t>
            </w:r>
          </w:p>
        </w:tc>
        <w:tc>
          <w:tcPr>
            <w:tcW w:type="dxa" w:w="1587"/>
          </w:tcPr>
          <w:p>
            <w:pPr>
              <w:spacing w:after="0" w:line="240" w:lineRule="auto"/>
            </w:pPr>
            <w:r>
              <w:rPr>
                <w:b w:val="0"/>
                <w:i w:val="0"/>
                <w:sz w:val="15"/>
              </w:rPr>
              <w:t>none (repair genotypes, no AID-null arm)</w:t>
            </w:r>
          </w:p>
        </w:tc>
        <w:tc>
          <w:tcPr>
            <w:tcW w:type="dxa" w:w="1134"/>
          </w:tcPr>
          <w:p>
            <w:pPr>
              <w:spacing w:after="0" w:line="240" w:lineRule="auto"/>
            </w:pPr>
            <w:r>
              <w:rPr>
                <w:b w:val="0"/>
                <w:i w:val="0"/>
                <w:sz w:val="15"/>
              </w:rPr>
              <w:t>mouse</w:t>
            </w:r>
          </w:p>
        </w:tc>
        <w:tc>
          <w:tcPr>
            <w:tcW w:type="dxa" w:w="1020"/>
          </w:tcPr>
          <w:p>
            <w:pPr>
              <w:spacing w:after="0" w:line="240" w:lineRule="auto"/>
            </w:pPr>
            <w:hyperlink w:anchor="fig_S20" w:history="1">
              <w:r>
                <w:rPr>
                  <w:b w:val="0"/>
                  <w:i w:val="0"/>
                  <w:color w:val="1F5FA8"/>
                  <w:sz w:val="15"/>
                </w:rPr>
                <w:t>Figure S20</w:t>
              </w:r>
            </w:hyperlink>
          </w:p>
        </w:tc>
      </w:tr>
      <w:tr>
        <w:tc>
          <w:tcPr>
            <w:tcW w:type="dxa" w:w="1587"/>
          </w:tcPr>
          <w:p>
            <w:pPr>
              <w:spacing w:after="0" w:line="240" w:lineRule="auto"/>
            </w:pPr>
            <w:r>
              <w:rPr>
                <w:b w:val="0"/>
                <w:i w:val="0"/>
                <w:sz w:val="15"/>
              </w:rPr>
              <w:t>GSE77788</w:t>
            </w:r>
            <w:hyperlink w:anchor="ref_42" w:history="1">
              <w:r>
                <w:rPr>
                  <w:i w:val="0"/>
                  <w:color w:val="1F5FA8"/>
                  <w:sz w:val="15"/>
                  <w:vertAlign w:val="superscript"/>
                </w:rPr>
                <w:t>42</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Sμ (216 bp shared; 221 bp repeats)</w:t>
            </w:r>
          </w:p>
        </w:tc>
        <w:tc>
          <w:tcPr>
            <w:tcW w:type="dxa" w:w="1814"/>
          </w:tcPr>
          <w:p>
            <w:pPr>
              <w:spacing w:after="0" w:line="240" w:lineRule="auto"/>
            </w:pPr>
            <w:r>
              <w:rPr>
                <w:b w:val="0"/>
                <w:i w:val="0"/>
                <w:sz w:val="15"/>
              </w:rPr>
              <w:t>9 Wt, 3 treatments</w:t>
            </w:r>
          </w:p>
        </w:tc>
        <w:tc>
          <w:tcPr>
            <w:tcW w:type="dxa" w:w="1587"/>
          </w:tcPr>
          <w:p>
            <w:pPr>
              <w:spacing w:after="0" w:line="240" w:lineRule="auto"/>
            </w:pPr>
            <w:r>
              <w:rPr>
                <w:b w:val="0"/>
                <w:i w:val="0"/>
                <w:sz w:val="15"/>
              </w:rPr>
              <w:t xml:space="preserve">9 </w:t>
            </w:r>
            <w:r>
              <w:rPr>
                <w:i/>
                <w:sz w:val="15"/>
              </w:rPr>
              <w:t>Aicda</w:t>
            </w:r>
            <w:r>
              <w:rPr>
                <w:i w:val="0"/>
                <w:sz w:val="15"/>
                <w:vertAlign w:val="superscript"/>
              </w:rPr>
              <w:t>−/−</w:t>
            </w:r>
            <w:r>
              <w:rPr>
                <w:b w:val="0"/>
                <w:i w:val="0"/>
                <w:sz w:val="15"/>
              </w:rPr>
              <w:t>, same treatments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9" w:history="1">
              <w:r>
                <w:rPr>
                  <w:b w:val="0"/>
                  <w:i w:val="0"/>
                  <w:color w:val="1F5FA8"/>
                  <w:sz w:val="15"/>
                </w:rPr>
                <w:t>Figure S19</w:t>
              </w:r>
            </w:hyperlink>
          </w:p>
        </w:tc>
      </w:tr>
      <w:tr>
        <w:tc>
          <w:tcPr>
            <w:tcW w:type="dxa" w:w="1587"/>
          </w:tcPr>
          <w:p>
            <w:pPr>
              <w:spacing w:after="0" w:line="240" w:lineRule="auto"/>
            </w:pPr>
            <w:r>
              <w:rPr>
                <w:b w:val="0"/>
                <w:i w:val="0"/>
                <w:sz w:val="15"/>
              </w:rPr>
              <w:t>SRP159221</w:t>
            </w:r>
            <w:hyperlink w:anchor="ref_40" w:history="1">
              <w:r>
                <w:rPr>
                  <w:i w:val="0"/>
                  <w:color w:val="1F5FA8"/>
                  <w:sz w:val="15"/>
                  <w:vertAlign w:val="superscript"/>
                </w:rPr>
                <w:t>40</w:t>
              </w:r>
            </w:hyperlink>
          </w:p>
        </w:tc>
        <w:tc>
          <w:tcPr>
            <w:tcW w:type="dxa" w:w="1134"/>
          </w:tcPr>
          <w:p>
            <w:pPr>
              <w:spacing w:after="0" w:line="240" w:lineRule="auto"/>
            </w:pPr>
            <w:r>
              <w:rPr>
                <w:b w:val="0"/>
                <w:i w:val="0"/>
                <w:sz w:val="15"/>
              </w:rPr>
              <w:t>Illumina</w:t>
            </w:r>
          </w:p>
        </w:tc>
        <w:tc>
          <w:tcPr>
            <w:tcW w:type="dxa" w:w="1587"/>
          </w:tcPr>
          <w:p>
            <w:pPr>
              <w:spacing w:after="0" w:line="240" w:lineRule="auto"/>
            </w:pPr>
            <w:r>
              <w:rPr>
                <w:b w:val="0"/>
                <w:i w:val="0"/>
                <w:sz w:val="15"/>
              </w:rPr>
              <w:t>EGFP reporter (238 bp)</w:t>
            </w:r>
          </w:p>
        </w:tc>
        <w:tc>
          <w:tcPr>
            <w:tcW w:type="dxa" w:w="1814"/>
          </w:tcPr>
          <w:p>
            <w:pPr>
              <w:spacing w:after="0" w:line="240" w:lineRule="auto"/>
            </w:pPr>
            <w:r>
              <w:rPr>
                <w:b w:val="0"/>
                <w:i w:val="0"/>
                <w:sz w:val="15"/>
              </w:rPr>
              <w:t>AID and APOBEC editors, 3 each</w:t>
            </w:r>
          </w:p>
        </w:tc>
        <w:tc>
          <w:tcPr>
            <w:tcW w:type="dxa" w:w="1587"/>
          </w:tcPr>
          <w:p>
            <w:pPr>
              <w:spacing w:after="0" w:line="240" w:lineRule="auto"/>
            </w:pPr>
            <w:r>
              <w:rPr>
                <w:b w:val="0"/>
                <w:i w:val="0"/>
                <w:sz w:val="15"/>
              </w:rPr>
              <w:t>3 no-editor libraries</w:t>
            </w:r>
          </w:p>
        </w:tc>
        <w:tc>
          <w:tcPr>
            <w:tcW w:type="dxa" w:w="1134"/>
          </w:tcPr>
          <w:p>
            <w:pPr>
              <w:spacing w:after="0" w:line="240" w:lineRule="auto"/>
            </w:pPr>
            <w:r>
              <w:rPr>
                <w:b w:val="0"/>
                <w:i w:val="0"/>
                <w:sz w:val="15"/>
              </w:rPr>
              <w:t>culture</w:t>
            </w:r>
          </w:p>
        </w:tc>
        <w:tc>
          <w:tcPr>
            <w:tcW w:type="dxa" w:w="1020"/>
          </w:tcPr>
          <w:p>
            <w:pPr>
              <w:spacing w:after="0" w:line="240" w:lineRule="auto"/>
            </w:pPr>
            <w:hyperlink w:anchor="fig_S18" w:history="1">
              <w:r>
                <w:rPr>
                  <w:b w:val="0"/>
                  <w:i w:val="0"/>
                  <w:color w:val="1F5FA8"/>
                  <w:sz w:val="15"/>
                </w:rPr>
                <w:t>Figure S18A</w:t>
              </w:r>
            </w:hyperlink>
          </w:p>
        </w:tc>
      </w:tr>
      <w:tr>
        <w:tc>
          <w:tcPr>
            <w:tcW w:type="dxa" w:w="1587"/>
          </w:tcPr>
          <w:p>
            <w:pPr>
              <w:spacing w:after="0" w:line="240" w:lineRule="auto"/>
            </w:pPr>
            <w:r>
              <w:rPr>
                <w:b w:val="0"/>
                <w:i w:val="0"/>
                <w:sz w:val="15"/>
              </w:rPr>
              <w:t>Devilder et al.</w:t>
            </w:r>
            <w:hyperlink w:anchor="ref_41" w:history="1">
              <w:r>
                <w:rPr>
                  <w:i w:val="0"/>
                  <w:color w:val="1F5FA8"/>
                  <w:sz w:val="15"/>
                  <w:vertAlign w:val="superscript"/>
                </w:rPr>
                <w:t>41</w:t>
              </w:r>
            </w:hyperlink>
          </w:p>
        </w:tc>
        <w:tc>
          <w:tcPr>
            <w:tcW w:type="dxa" w:w="1134"/>
          </w:tcPr>
          <w:p>
            <w:pPr>
              <w:spacing w:after="0" w:line="240" w:lineRule="auto"/>
            </w:pPr>
            <w:r>
              <w:rPr>
                <w:b w:val="0"/>
                <w:i w:val="0"/>
                <w:sz w:val="15"/>
              </w:rPr>
              <w:t>Sanger (published sequences)</w:t>
            </w:r>
          </w:p>
        </w:tc>
        <w:tc>
          <w:tcPr>
            <w:tcW w:type="dxa" w:w="1587"/>
          </w:tcPr>
          <w:p>
            <w:pPr>
              <w:spacing w:after="0" w:line="240" w:lineRule="auto"/>
            </w:pPr>
            <w:r>
              <w:rPr>
                <w:b w:val="0"/>
                <w:i w:val="0"/>
                <w:sz w:val="15"/>
              </w:rPr>
              <w:t>antibody V</w:t>
            </w:r>
            <w:r>
              <w:rPr>
                <w:i w:val="0"/>
                <w:sz w:val="15"/>
                <w:vertAlign w:val="subscript"/>
              </w:rPr>
              <w:t>H</w:t>
            </w:r>
            <w:r>
              <w:rPr>
                <w:b w:val="0"/>
                <w:i w:val="0"/>
                <w:sz w:val="15"/>
              </w:rPr>
              <w:t xml:space="preserve"> (423 bp)</w:t>
            </w:r>
          </w:p>
        </w:tc>
        <w:tc>
          <w:tcPr>
            <w:tcW w:type="dxa" w:w="1814"/>
          </w:tcPr>
          <w:p>
            <w:pPr>
              <w:spacing w:after="0" w:line="240" w:lineRule="auto"/>
            </w:pPr>
            <w:r>
              <w:rPr>
                <w:b w:val="0"/>
                <w:i w:val="0"/>
                <w:sz w:val="15"/>
              </w:rPr>
              <w:t>42 selected clusters, 2 rounds</w:t>
            </w:r>
          </w:p>
        </w:tc>
        <w:tc>
          <w:tcPr>
            <w:tcW w:type="dxa" w:w="1587"/>
          </w:tcPr>
          <w:p>
            <w:pPr>
              <w:spacing w:after="0" w:line="240" w:lineRule="auto"/>
            </w:pPr>
            <w:r>
              <w:rPr>
                <w:b w:val="0"/>
                <w:i w:val="0"/>
                <w:sz w:val="15"/>
              </w:rPr>
              <w:t>parental construct as reference</w:t>
            </w:r>
          </w:p>
        </w:tc>
        <w:tc>
          <w:tcPr>
            <w:tcW w:type="dxa" w:w="1134"/>
          </w:tcPr>
          <w:p>
            <w:pPr>
              <w:spacing w:after="0" w:line="240" w:lineRule="auto"/>
            </w:pPr>
            <w:r>
              <w:rPr>
                <w:b w:val="0"/>
                <w:i w:val="0"/>
                <w:sz w:val="15"/>
              </w:rPr>
              <w:t>cluster</w:t>
            </w:r>
          </w:p>
        </w:tc>
        <w:tc>
          <w:tcPr>
            <w:tcW w:type="dxa" w:w="1020"/>
          </w:tcPr>
          <w:p>
            <w:pPr>
              <w:spacing w:after="0" w:line="240" w:lineRule="auto"/>
            </w:pPr>
            <w:hyperlink w:anchor="fig_S18" w:history="1">
              <w:r>
                <w:rPr>
                  <w:b w:val="0"/>
                  <w:i w:val="0"/>
                  <w:color w:val="1F5FA8"/>
                  <w:sz w:val="15"/>
                </w:rPr>
                <w:t>Figure S18B</w:t>
              </w:r>
            </w:hyperlink>
          </w:p>
        </w:tc>
      </w:tr>
      <w:tr>
        <w:tc>
          <w:tcPr>
            <w:tcW w:type="dxa" w:w="1587"/>
          </w:tcPr>
          <w:p>
            <w:pPr>
              <w:spacing w:after="0" w:line="240" w:lineRule="auto"/>
            </w:pPr>
            <w:r>
              <w:rPr>
                <w:b w:val="0"/>
                <w:i w:val="0"/>
                <w:sz w:val="15"/>
              </w:rPr>
              <w:t>Simulations</w:t>
            </w:r>
          </w:p>
        </w:tc>
        <w:tc>
          <w:tcPr>
            <w:tcW w:type="dxa" w:w="1134"/>
          </w:tcPr>
          <w:p>
            <w:pPr>
              <w:spacing w:after="0" w:line="240" w:lineRule="auto"/>
            </w:pPr>
            <w:r>
              <w:rPr>
                <w:b w:val="0"/>
                <w:i w:val="0"/>
                <w:sz w:val="15"/>
              </w:rPr>
              <w:t>–</w:t>
            </w:r>
          </w:p>
        </w:tc>
        <w:tc>
          <w:tcPr>
            <w:tcW w:type="dxa" w:w="1587"/>
          </w:tcPr>
          <w:p>
            <w:pPr>
              <w:spacing w:after="0" w:line="240" w:lineRule="auto"/>
            </w:pPr>
            <w:r>
              <w:rPr>
                <w:b w:val="0"/>
                <w:i w:val="0"/>
                <w:sz w:val="15"/>
              </w:rPr>
              <w:t>J</w:t>
            </w:r>
            <w:r>
              <w:rPr>
                <w:i w:val="0"/>
                <w:sz w:val="15"/>
                <w:vertAlign w:val="subscript"/>
              </w:rPr>
              <w:t>H</w:t>
            </w:r>
            <w:r>
              <w:rPr>
                <w:b w:val="0"/>
                <w:i w:val="0"/>
                <w:sz w:val="15"/>
              </w:rPr>
              <w:t>4, N114 V</w:t>
            </w:r>
            <w:r>
              <w:rPr>
                <w:i w:val="0"/>
                <w:sz w:val="15"/>
                <w:vertAlign w:val="subscript"/>
              </w:rPr>
              <w:t>H</w:t>
            </w:r>
          </w:p>
        </w:tc>
        <w:tc>
          <w:tcPr>
            <w:tcW w:type="dxa" w:w="1814"/>
          </w:tcPr>
          <w:p>
            <w:pPr>
              <w:spacing w:after="0" w:line="240" w:lineRule="auto"/>
            </w:pPr>
            <w:r>
              <w:rPr>
                <w:b w:val="0"/>
                <w:i w:val="0"/>
                <w:sz w:val="15"/>
              </w:rPr>
              <w:t>planted sites, lineages, group tests, Sanger projects</w:t>
            </w:r>
          </w:p>
        </w:tc>
        <w:tc>
          <w:tcPr>
            <w:tcW w:type="dxa" w:w="1587"/>
          </w:tcPr>
          <w:p>
            <w:pPr>
              <w:spacing w:after="0" w:line="240" w:lineRule="auto"/>
            </w:pPr>
            <w:r>
              <w:rPr>
                <w:b w:val="0"/>
                <w:i w:val="0"/>
                <w:sz w:val="15"/>
              </w:rPr>
              <w:t>held-out controls</w:t>
            </w:r>
          </w:p>
        </w:tc>
        <w:tc>
          <w:tcPr>
            <w:tcW w:type="dxa" w:w="1134"/>
          </w:tcPr>
          <w:p>
            <w:pPr>
              <w:spacing w:after="0" w:line="240" w:lineRule="auto"/>
            </w:pPr>
            <w:r>
              <w:rPr>
                <w:b w:val="0"/>
                <w:i w:val="0"/>
                <w:sz w:val="15"/>
              </w:rPr>
              <w:t>simulated library</w:t>
            </w:r>
          </w:p>
        </w:tc>
        <w:tc>
          <w:tcPr>
            <w:tcW w:type="dxa" w:w="1020"/>
          </w:tcPr>
          <w:p>
            <w:pPr>
              <w:spacing w:after="0" w:line="240" w:lineRule="auto"/>
            </w:pPr>
            <w:hyperlink w:anchor="fig_3" w:history="1">
              <w:r>
                <w:rPr>
                  <w:b w:val="0"/>
                  <w:i w:val="0"/>
                  <w:color w:val="1F5FA8"/>
                  <w:sz w:val="15"/>
                </w:rPr>
                <w:t>Figure 3</w:t>
              </w:r>
            </w:hyperlink>
            <w:r>
              <w:rPr>
                <w:b w:val="0"/>
                <w:i w:val="0"/>
                <w:sz w:val="15"/>
              </w:rPr>
              <w:t>; STAR Methods</w:t>
            </w:r>
          </w:p>
        </w:tc>
      </w:tr>
    </w:tbl>
    <w:p>
      <w:pPr>
        <w:keepLines/>
        <w:spacing w:after="80" w:line="240" w:lineRule="auto"/>
      </w:pPr>
      <w:r>
        <w:rPr>
          <w:b w:val="0"/>
          <w:i w:val="0"/>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i w:val="0"/>
          <w:sz w:val="17"/>
          <w:vertAlign w:val="subscript"/>
        </w:rPr>
        <w:t>H</w:t>
      </w:r>
      <w:r>
        <w:rPr>
          <w:b w:val="0"/>
          <w:i w:val="0"/>
          <w:sz w:val="17"/>
        </w:rPr>
        <w:t xml:space="preserve">4 once across the rows that share it: six somatic hypermutation targets, four AID-targeted loci that are not SHM (Sμ, </w:t>
      </w:r>
      <w:r>
        <w:rPr>
          <w:i/>
          <w:sz w:val="17"/>
        </w:rPr>
        <w:t>Pim1</w:t>
      </w:r>
      <w:r>
        <w:rPr>
          <w:b w:val="0"/>
          <w:i w:val="0"/>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pPr>
        <w:pageBreakBefore/>
      </w:pPr>
      <w:bookmarkStart w:id="34" w:name="tab_S3"/>
      <w:bookmarkEnd w:id="34"/>
      <w:r>
        <w:rPr>
          <w:b/>
          <w:i w:val="0"/>
          <w:sz w:val="20"/>
        </w:rPr>
        <w:t>Table S3. Read preparation and calls per library, related to Figure 4</w:t>
      </w:r>
    </w:p>
    <w:tbl>
      <w:tblPr>
        <w:tblStyle w:val="TableGrid"/>
        <w:tblW w:type="auto" w:w="0"/>
        <w:jc w:val="center"/>
        <w:tblLayout w:type="fixed"/>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trPr>
        <w:tc>
          <w:tcPr>
            <w:tcW w:type="dxa" w:w="680"/>
          </w:tcPr>
          <w:p>
            <w:pPr>
              <w:spacing w:after="0"/>
            </w:pPr>
            <w:r>
              <w:rPr>
                <w:b/>
                <w:i w:val="0"/>
                <w:sz w:val="15"/>
              </w:rPr>
              <w:t>Assay</w:t>
            </w:r>
          </w:p>
        </w:tc>
        <w:tc>
          <w:tcPr>
            <w:tcW w:type="dxa" w:w="794"/>
          </w:tcPr>
          <w:p>
            <w:pPr>
              <w:spacing w:after="0"/>
            </w:pPr>
            <w:r>
              <w:rPr>
                <w:b/>
                <w:i w:val="0"/>
                <w:sz w:val="15"/>
              </w:rPr>
              <w:t>Library</w:t>
            </w:r>
          </w:p>
        </w:tc>
        <w:tc>
          <w:tcPr>
            <w:tcW w:type="dxa" w:w="1020"/>
          </w:tcPr>
          <w:p>
            <w:pPr>
              <w:spacing w:after="0"/>
            </w:pPr>
            <w:r>
              <w:rPr>
                <w:b/>
                <w:i w:val="0"/>
                <w:sz w:val="15"/>
              </w:rPr>
              <w:t>Delivered</w:t>
            </w:r>
          </w:p>
        </w:tc>
        <w:tc>
          <w:tcPr>
            <w:tcW w:type="dxa" w:w="907"/>
          </w:tcPr>
          <w:p>
            <w:pPr>
              <w:spacing w:after="0"/>
            </w:pPr>
            <w:r>
              <w:rPr>
                <w:b/>
                <w:i w:val="0"/>
                <w:sz w:val="15"/>
              </w:rPr>
              <w:t>Over-length</w:t>
            </w:r>
          </w:p>
        </w:tc>
        <w:tc>
          <w:tcPr>
            <w:tcW w:type="dxa" w:w="907"/>
          </w:tcPr>
          <w:p>
            <w:pPr>
              <w:spacing w:after="0"/>
            </w:pPr>
            <w:r>
              <w:rPr>
                <w:b/>
                <w:i w:val="0"/>
                <w:sz w:val="15"/>
              </w:rPr>
              <w:t>High error</w:t>
            </w:r>
          </w:p>
        </w:tc>
        <w:tc>
          <w:tcPr>
            <w:tcW w:type="dxa" w:w="1361"/>
          </w:tcPr>
          <w:p>
            <w:pPr>
              <w:spacing w:after="0"/>
            </w:pPr>
            <w:r>
              <w:rPr>
                <w:b/>
                <w:i w:val="0"/>
                <w:sz w:val="15"/>
              </w:rPr>
              <w:t>Unmapped / paralog</w:t>
            </w:r>
          </w:p>
        </w:tc>
        <w:tc>
          <w:tcPr>
            <w:tcW w:type="dxa" w:w="1247"/>
          </w:tcPr>
          <w:p>
            <w:pPr>
              <w:spacing w:after="0"/>
            </w:pPr>
            <w:r>
              <w:rPr>
                <w:b/>
                <w:i w:val="0"/>
                <w:sz w:val="15"/>
              </w:rPr>
              <w:t>Chimeric / short</w:t>
            </w:r>
          </w:p>
        </w:tc>
        <w:tc>
          <w:tcPr>
            <w:tcW w:type="dxa" w:w="1134"/>
          </w:tcPr>
          <w:p>
            <w:pPr>
              <w:spacing w:after="0"/>
            </w:pPr>
            <w:r>
              <w:rPr>
                <w:b/>
                <w:i w:val="0"/>
                <w:sz w:val="15"/>
              </w:rPr>
              <w:t>Paralog alleles</w:t>
            </w:r>
          </w:p>
        </w:tc>
        <w:tc>
          <w:tcPr>
            <w:tcW w:type="dxa" w:w="907"/>
          </w:tcPr>
          <w:p>
            <w:pPr>
              <w:spacing w:after="0"/>
            </w:pPr>
            <w:r>
              <w:rPr>
                <w:b/>
                <w:i w:val="0"/>
                <w:sz w:val="15"/>
              </w:rPr>
              <w:t>Usable</w:t>
            </w:r>
          </w:p>
        </w:tc>
        <w:tc>
          <w:tcPr>
            <w:tcW w:type="dxa" w:w="907"/>
          </w:tcPr>
          <w:p>
            <w:pPr>
              <w:spacing w:after="0"/>
            </w:pPr>
            <w:r>
              <w:rPr>
                <w:b/>
                <w:i w:val="0"/>
                <w:sz w:val="15"/>
              </w:rPr>
              <w:t>Analyzed</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171</w:t>
            </w:r>
          </w:p>
        </w:tc>
        <w:tc>
          <w:tcPr>
            <w:tcW w:type="dxa" w:w="907"/>
          </w:tcPr>
          <w:p>
            <w:pPr>
              <w:spacing w:after="0" w:line="240" w:lineRule="auto"/>
            </w:pPr>
            <w:r>
              <w:rPr>
                <w:b w:val="0"/>
                <w:i w:val="0"/>
                <w:sz w:val="15"/>
              </w:rPr>
              <w:t>1,415</w:t>
            </w:r>
          </w:p>
        </w:tc>
        <w:tc>
          <w:tcPr>
            <w:tcW w:type="dxa" w:w="1361"/>
          </w:tcPr>
          <w:p>
            <w:pPr>
              <w:spacing w:after="0" w:line="240" w:lineRule="auto"/>
            </w:pPr>
            <w:r>
              <w:rPr>
                <w:b w:val="0"/>
                <w:i w:val="0"/>
                <w:sz w:val="15"/>
              </w:rPr>
              <w:t>374</w:t>
            </w:r>
          </w:p>
        </w:tc>
        <w:tc>
          <w:tcPr>
            <w:tcW w:type="dxa" w:w="1247"/>
          </w:tcPr>
          <w:p>
            <w:pPr>
              <w:spacing w:after="0" w:line="240" w:lineRule="auto"/>
            </w:pPr>
            <w:r>
              <w:rPr>
                <w:b w:val="0"/>
                <w:i w:val="0"/>
                <w:sz w:val="15"/>
              </w:rPr>
              <w:t>219</w:t>
            </w:r>
          </w:p>
        </w:tc>
        <w:tc>
          <w:tcPr>
            <w:tcW w:type="dxa" w:w="1134"/>
          </w:tcPr>
          <w:p>
            <w:pPr>
              <w:spacing w:after="0" w:line="240" w:lineRule="auto"/>
            </w:pPr>
            <w:r>
              <w:rPr>
                <w:b w:val="0"/>
                <w:i w:val="0"/>
                <w:sz w:val="15"/>
              </w:rPr>
              <w:t>20</w:t>
            </w:r>
          </w:p>
        </w:tc>
        <w:tc>
          <w:tcPr>
            <w:tcW w:type="dxa" w:w="907"/>
          </w:tcPr>
          <w:p>
            <w:pPr>
              <w:spacing w:after="0" w:line="240" w:lineRule="auto"/>
            </w:pPr>
            <w:r>
              <w:rPr>
                <w:b w:val="0"/>
                <w:i w:val="0"/>
                <w:sz w:val="15"/>
              </w:rPr>
              <w:t>2,801</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462</w:t>
            </w:r>
          </w:p>
        </w:tc>
        <w:tc>
          <w:tcPr>
            <w:tcW w:type="dxa" w:w="907"/>
          </w:tcPr>
          <w:p>
            <w:pPr>
              <w:spacing w:after="0" w:line="240" w:lineRule="auto"/>
            </w:pPr>
            <w:r>
              <w:rPr>
                <w:b w:val="0"/>
                <w:i w:val="0"/>
                <w:sz w:val="15"/>
              </w:rPr>
              <w:t>1,150</w:t>
            </w:r>
          </w:p>
        </w:tc>
        <w:tc>
          <w:tcPr>
            <w:tcW w:type="dxa" w:w="1361"/>
          </w:tcPr>
          <w:p>
            <w:pPr>
              <w:spacing w:after="0" w:line="240" w:lineRule="auto"/>
            </w:pPr>
            <w:r>
              <w:rPr>
                <w:b w:val="0"/>
                <w:i w:val="0"/>
                <w:sz w:val="15"/>
              </w:rPr>
              <w:t>1,086</w:t>
            </w:r>
          </w:p>
        </w:tc>
        <w:tc>
          <w:tcPr>
            <w:tcW w:type="dxa" w:w="1247"/>
          </w:tcPr>
          <w:p>
            <w:pPr>
              <w:spacing w:after="0" w:line="240" w:lineRule="auto"/>
            </w:pPr>
            <w:r>
              <w:rPr>
                <w:b w:val="0"/>
                <w:i w:val="0"/>
                <w:sz w:val="15"/>
              </w:rPr>
              <w:t>70</w:t>
            </w:r>
          </w:p>
        </w:tc>
        <w:tc>
          <w:tcPr>
            <w:tcW w:type="dxa" w:w="1134"/>
          </w:tcPr>
          <w:p>
            <w:pPr>
              <w:spacing w:after="0" w:line="240" w:lineRule="auto"/>
            </w:pPr>
            <w:r>
              <w:rPr>
                <w:b w:val="0"/>
                <w:i w:val="0"/>
                <w:sz w:val="15"/>
              </w:rPr>
              <w:t>68</w:t>
            </w:r>
          </w:p>
        </w:tc>
        <w:tc>
          <w:tcPr>
            <w:tcW w:type="dxa" w:w="907"/>
          </w:tcPr>
          <w:p>
            <w:pPr>
              <w:spacing w:after="0" w:line="240" w:lineRule="auto"/>
            </w:pPr>
            <w:r>
              <w:rPr>
                <w:b w:val="0"/>
                <w:i w:val="0"/>
                <w:sz w:val="15"/>
              </w:rPr>
              <w:t>2,164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WT4</w:t>
            </w:r>
          </w:p>
        </w:tc>
        <w:tc>
          <w:tcPr>
            <w:tcW w:type="dxa" w:w="1020"/>
          </w:tcPr>
          <w:p>
            <w:pPr>
              <w:spacing w:after="0" w:line="240" w:lineRule="auto"/>
            </w:pPr>
            <w:r>
              <w:rPr>
                <w:b w:val="0"/>
                <w:i w:val="0"/>
                <w:sz w:val="15"/>
              </w:rPr>
              <w:t>4,558</w:t>
            </w:r>
          </w:p>
        </w:tc>
        <w:tc>
          <w:tcPr>
            <w:tcW w:type="dxa" w:w="907"/>
          </w:tcPr>
          <w:p>
            <w:pPr>
              <w:spacing w:after="0" w:line="240" w:lineRule="auto"/>
            </w:pPr>
            <w:r>
              <w:rPr>
                <w:b w:val="0"/>
                <w:i w:val="0"/>
                <w:sz w:val="15"/>
              </w:rPr>
              <w:t>351</w:t>
            </w:r>
          </w:p>
        </w:tc>
        <w:tc>
          <w:tcPr>
            <w:tcW w:type="dxa" w:w="907"/>
          </w:tcPr>
          <w:p>
            <w:pPr>
              <w:spacing w:after="0" w:line="240" w:lineRule="auto"/>
            </w:pPr>
            <w:r>
              <w:rPr>
                <w:b w:val="0"/>
                <w:i w:val="0"/>
                <w:sz w:val="15"/>
              </w:rPr>
              <w:t>1,362</w:t>
            </w:r>
          </w:p>
        </w:tc>
        <w:tc>
          <w:tcPr>
            <w:tcW w:type="dxa" w:w="1361"/>
          </w:tcPr>
          <w:p>
            <w:pPr>
              <w:spacing w:after="0" w:line="240" w:lineRule="auto"/>
            </w:pPr>
            <w:r>
              <w:rPr>
                <w:b w:val="0"/>
                <w:i w:val="0"/>
                <w:sz w:val="15"/>
              </w:rPr>
              <w:t>1,750</w:t>
            </w:r>
          </w:p>
        </w:tc>
        <w:tc>
          <w:tcPr>
            <w:tcW w:type="dxa" w:w="1247"/>
          </w:tcPr>
          <w:p>
            <w:pPr>
              <w:spacing w:after="0" w:line="240" w:lineRule="auto"/>
            </w:pPr>
            <w:r>
              <w:rPr>
                <w:b w:val="0"/>
                <w:i w:val="0"/>
                <w:sz w:val="15"/>
              </w:rPr>
              <w:t>96</w:t>
            </w:r>
          </w:p>
        </w:tc>
        <w:tc>
          <w:tcPr>
            <w:tcW w:type="dxa" w:w="1134"/>
          </w:tcPr>
          <w:p>
            <w:pPr>
              <w:spacing w:after="0" w:line="240" w:lineRule="auto"/>
            </w:pPr>
            <w:r>
              <w:rPr>
                <w:b w:val="0"/>
                <w:i w:val="0"/>
                <w:sz w:val="15"/>
              </w:rPr>
              <w:t>37</w:t>
            </w:r>
          </w:p>
        </w:tc>
        <w:tc>
          <w:tcPr>
            <w:tcW w:type="dxa" w:w="907"/>
          </w:tcPr>
          <w:p>
            <w:pPr>
              <w:spacing w:after="0" w:line="240" w:lineRule="auto"/>
            </w:pPr>
            <w:r>
              <w:rPr>
                <w:b w:val="0"/>
                <w:i w:val="0"/>
                <w:sz w:val="15"/>
              </w:rPr>
              <w:t>962</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KO1</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443</w:t>
            </w:r>
          </w:p>
        </w:tc>
        <w:tc>
          <w:tcPr>
            <w:tcW w:type="dxa" w:w="907"/>
          </w:tcPr>
          <w:p>
            <w:pPr>
              <w:spacing w:after="0" w:line="240" w:lineRule="auto"/>
            </w:pPr>
            <w:r>
              <w:rPr>
                <w:b w:val="0"/>
                <w:i w:val="0"/>
                <w:sz w:val="15"/>
              </w:rPr>
              <w:t>1,336</w:t>
            </w:r>
          </w:p>
        </w:tc>
        <w:tc>
          <w:tcPr>
            <w:tcW w:type="dxa" w:w="1361"/>
          </w:tcPr>
          <w:p>
            <w:pPr>
              <w:spacing w:after="0" w:line="240" w:lineRule="auto"/>
            </w:pPr>
            <w:r>
              <w:rPr>
                <w:b w:val="0"/>
                <w:i w:val="0"/>
                <w:sz w:val="15"/>
              </w:rPr>
              <w:t>1,585</w:t>
            </w:r>
          </w:p>
        </w:tc>
        <w:tc>
          <w:tcPr>
            <w:tcW w:type="dxa" w:w="1247"/>
          </w:tcPr>
          <w:p>
            <w:pPr>
              <w:spacing w:after="0" w:line="240" w:lineRule="auto"/>
            </w:pPr>
            <w:r>
              <w:rPr>
                <w:b w:val="0"/>
                <w:i w:val="0"/>
                <w:sz w:val="15"/>
              </w:rPr>
              <w:t>97</w:t>
            </w:r>
          </w:p>
        </w:tc>
        <w:tc>
          <w:tcPr>
            <w:tcW w:type="dxa" w:w="1134"/>
          </w:tcPr>
          <w:p>
            <w:pPr>
              <w:spacing w:after="0" w:line="240" w:lineRule="auto"/>
            </w:pPr>
            <w:r>
              <w:rPr>
                <w:b w:val="0"/>
                <w:i w:val="0"/>
                <w:sz w:val="15"/>
              </w:rPr>
              <w:t>40</w:t>
            </w:r>
          </w:p>
        </w:tc>
        <w:tc>
          <w:tcPr>
            <w:tcW w:type="dxa" w:w="907"/>
          </w:tcPr>
          <w:p>
            <w:pPr>
              <w:spacing w:after="0" w:line="240" w:lineRule="auto"/>
            </w:pPr>
            <w:r>
              <w:rPr>
                <w:b w:val="0"/>
                <w:i w:val="0"/>
                <w:sz w:val="15"/>
              </w:rPr>
              <w:t>1,499</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KO2</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558</w:t>
            </w:r>
          </w:p>
        </w:tc>
        <w:tc>
          <w:tcPr>
            <w:tcW w:type="dxa" w:w="907"/>
          </w:tcPr>
          <w:p>
            <w:pPr>
              <w:spacing w:after="0" w:line="240" w:lineRule="auto"/>
            </w:pPr>
            <w:r>
              <w:rPr>
                <w:b w:val="0"/>
                <w:i w:val="0"/>
                <w:sz w:val="15"/>
              </w:rPr>
              <w:t>1,609</w:t>
            </w:r>
          </w:p>
        </w:tc>
        <w:tc>
          <w:tcPr>
            <w:tcW w:type="dxa" w:w="1361"/>
          </w:tcPr>
          <w:p>
            <w:pPr>
              <w:spacing w:after="0" w:line="240" w:lineRule="auto"/>
            </w:pPr>
            <w:r>
              <w:rPr>
                <w:b w:val="0"/>
                <w:i w:val="0"/>
                <w:sz w:val="15"/>
              </w:rPr>
              <w:t>1,470</w:t>
            </w:r>
          </w:p>
        </w:tc>
        <w:tc>
          <w:tcPr>
            <w:tcW w:type="dxa" w:w="1247"/>
          </w:tcPr>
          <w:p>
            <w:pPr>
              <w:spacing w:after="0" w:line="240" w:lineRule="auto"/>
            </w:pPr>
            <w:r>
              <w:rPr>
                <w:b w:val="0"/>
                <w:i w:val="0"/>
                <w:sz w:val="15"/>
              </w:rPr>
              <w:t>174</w:t>
            </w:r>
          </w:p>
        </w:tc>
        <w:tc>
          <w:tcPr>
            <w:tcW w:type="dxa" w:w="1134"/>
          </w:tcPr>
          <w:p>
            <w:pPr>
              <w:spacing w:after="0" w:line="240" w:lineRule="auto"/>
            </w:pPr>
            <w:r>
              <w:rPr>
                <w:b w:val="0"/>
                <w:i w:val="0"/>
                <w:sz w:val="15"/>
              </w:rPr>
              <w:t>21</w:t>
            </w:r>
          </w:p>
        </w:tc>
        <w:tc>
          <w:tcPr>
            <w:tcW w:type="dxa" w:w="907"/>
          </w:tcPr>
          <w:p>
            <w:pPr>
              <w:spacing w:after="0" w:line="240" w:lineRule="auto"/>
            </w:pPr>
            <w:r>
              <w:rPr>
                <w:b w:val="0"/>
                <w:i w:val="0"/>
                <w:sz w:val="15"/>
              </w:rPr>
              <w:t>1,168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J</w:t>
            </w:r>
            <w:r>
              <w:rPr>
                <w:i w:val="0"/>
                <w:sz w:val="15"/>
                <w:vertAlign w:val="subscript"/>
              </w:rPr>
              <w:t>H</w:t>
            </w:r>
            <w:r>
              <w:rPr>
                <w:b w:val="0"/>
                <w:i w:val="0"/>
                <w:sz w:val="15"/>
              </w:rPr>
              <w:t>4</w:t>
            </w:r>
          </w:p>
        </w:tc>
        <w:tc>
          <w:tcPr>
            <w:tcW w:type="dxa" w:w="794"/>
          </w:tcPr>
          <w:p>
            <w:pPr>
              <w:spacing w:after="0" w:line="240" w:lineRule="auto"/>
            </w:pPr>
            <w:r>
              <w:rPr>
                <w:b w:val="0"/>
                <w:i w:val="0"/>
                <w:sz w:val="15"/>
              </w:rPr>
              <w:t>KO3</w:t>
            </w:r>
          </w:p>
        </w:tc>
        <w:tc>
          <w:tcPr>
            <w:tcW w:type="dxa" w:w="1020"/>
          </w:tcPr>
          <w:p>
            <w:pPr>
              <w:spacing w:after="0" w:line="240" w:lineRule="auto"/>
            </w:pPr>
            <w:r>
              <w:rPr>
                <w:b w:val="0"/>
                <w:i w:val="0"/>
                <w:sz w:val="15"/>
              </w:rPr>
              <w:t>5,000</w:t>
            </w:r>
          </w:p>
        </w:tc>
        <w:tc>
          <w:tcPr>
            <w:tcW w:type="dxa" w:w="907"/>
          </w:tcPr>
          <w:p>
            <w:pPr>
              <w:spacing w:after="0" w:line="240" w:lineRule="auto"/>
            </w:pPr>
            <w:r>
              <w:rPr>
                <w:b w:val="0"/>
                <w:i w:val="0"/>
                <w:sz w:val="15"/>
              </w:rPr>
              <w:t>749</w:t>
            </w:r>
          </w:p>
        </w:tc>
        <w:tc>
          <w:tcPr>
            <w:tcW w:type="dxa" w:w="907"/>
          </w:tcPr>
          <w:p>
            <w:pPr>
              <w:spacing w:after="0" w:line="240" w:lineRule="auto"/>
            </w:pPr>
            <w:r>
              <w:rPr>
                <w:b w:val="0"/>
                <w:i w:val="0"/>
                <w:sz w:val="15"/>
              </w:rPr>
              <w:t>1,649</w:t>
            </w:r>
          </w:p>
        </w:tc>
        <w:tc>
          <w:tcPr>
            <w:tcW w:type="dxa" w:w="1361"/>
          </w:tcPr>
          <w:p>
            <w:pPr>
              <w:spacing w:after="0" w:line="240" w:lineRule="auto"/>
            </w:pPr>
            <w:r>
              <w:rPr>
                <w:b w:val="0"/>
                <w:i w:val="0"/>
                <w:sz w:val="15"/>
              </w:rPr>
              <w:t>1,075</w:t>
            </w:r>
          </w:p>
        </w:tc>
        <w:tc>
          <w:tcPr>
            <w:tcW w:type="dxa" w:w="1247"/>
          </w:tcPr>
          <w:p>
            <w:pPr>
              <w:spacing w:after="0" w:line="240" w:lineRule="auto"/>
            </w:pPr>
            <w:r>
              <w:rPr>
                <w:b w:val="0"/>
                <w:i w:val="0"/>
                <w:sz w:val="15"/>
              </w:rPr>
              <w:t>271</w:t>
            </w:r>
          </w:p>
        </w:tc>
        <w:tc>
          <w:tcPr>
            <w:tcW w:type="dxa" w:w="1134"/>
          </w:tcPr>
          <w:p>
            <w:pPr>
              <w:spacing w:after="0" w:line="240" w:lineRule="auto"/>
            </w:pPr>
            <w:r>
              <w:rPr>
                <w:b w:val="0"/>
                <w:i w:val="0"/>
                <w:sz w:val="15"/>
              </w:rPr>
              <w:t>12</w:t>
            </w:r>
          </w:p>
        </w:tc>
        <w:tc>
          <w:tcPr>
            <w:tcW w:type="dxa" w:w="907"/>
          </w:tcPr>
          <w:p>
            <w:pPr>
              <w:spacing w:after="0" w:line="240" w:lineRule="auto"/>
            </w:pPr>
            <w:r>
              <w:rPr>
                <w:b w:val="0"/>
                <w:i w:val="0"/>
                <w:sz w:val="15"/>
              </w:rPr>
              <w:t>1,244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C1</w:t>
            </w:r>
          </w:p>
        </w:tc>
        <w:tc>
          <w:tcPr>
            <w:tcW w:type="dxa" w:w="1020"/>
          </w:tcPr>
          <w:p>
            <w:pPr>
              <w:spacing w:after="0" w:line="240" w:lineRule="auto"/>
            </w:pPr>
            <w:r>
              <w:rPr>
                <w:b w:val="0"/>
                <w:i w:val="0"/>
                <w:sz w:val="15"/>
              </w:rPr>
              <w:t>4,483</w:t>
            </w:r>
          </w:p>
        </w:tc>
        <w:tc>
          <w:tcPr>
            <w:tcW w:type="dxa" w:w="907"/>
          </w:tcPr>
          <w:p>
            <w:pPr>
              <w:spacing w:after="0" w:line="240" w:lineRule="auto"/>
            </w:pPr>
            <w:r>
              <w:rPr>
                <w:b w:val="0"/>
                <w:i w:val="0"/>
                <w:sz w:val="15"/>
              </w:rPr>
              <w:t>546</w:t>
            </w:r>
          </w:p>
        </w:tc>
        <w:tc>
          <w:tcPr>
            <w:tcW w:type="dxa" w:w="907"/>
          </w:tcPr>
          <w:p>
            <w:pPr>
              <w:spacing w:after="0" w:line="240" w:lineRule="auto"/>
            </w:pPr>
            <w:r>
              <w:rPr>
                <w:b w:val="0"/>
                <w:i w:val="0"/>
                <w:sz w:val="15"/>
              </w:rPr>
              <w:t>832</w:t>
            </w:r>
          </w:p>
        </w:tc>
        <w:tc>
          <w:tcPr>
            <w:tcW w:type="dxa" w:w="1361"/>
          </w:tcPr>
          <w:p>
            <w:pPr>
              <w:spacing w:after="0" w:line="240" w:lineRule="auto"/>
            </w:pPr>
            <w:r>
              <w:rPr>
                <w:b w:val="0"/>
                <w:i w:val="0"/>
                <w:sz w:val="15"/>
              </w:rPr>
              <w:t>24</w:t>
            </w:r>
          </w:p>
        </w:tc>
        <w:tc>
          <w:tcPr>
            <w:tcW w:type="dxa" w:w="1247"/>
          </w:tcPr>
          <w:p>
            <w:pPr>
              <w:spacing w:after="0" w:line="240" w:lineRule="auto"/>
            </w:pPr>
            <w:r>
              <w:rPr>
                <w:b w:val="0"/>
                <w:i w:val="0"/>
                <w:sz w:val="15"/>
              </w:rPr>
              <w:t>176</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2,905</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D3</w:t>
            </w:r>
          </w:p>
        </w:tc>
        <w:tc>
          <w:tcPr>
            <w:tcW w:type="dxa" w:w="1020"/>
          </w:tcPr>
          <w:p>
            <w:pPr>
              <w:spacing w:after="0" w:line="240" w:lineRule="auto"/>
            </w:pPr>
            <w:r>
              <w:rPr>
                <w:b w:val="0"/>
                <w:i w:val="0"/>
                <w:sz w:val="15"/>
              </w:rPr>
              <w:t>3,924</w:t>
            </w:r>
          </w:p>
        </w:tc>
        <w:tc>
          <w:tcPr>
            <w:tcW w:type="dxa" w:w="907"/>
          </w:tcPr>
          <w:p>
            <w:pPr>
              <w:spacing w:after="0" w:line="240" w:lineRule="auto"/>
            </w:pPr>
            <w:r>
              <w:rPr>
                <w:b w:val="0"/>
                <w:i w:val="0"/>
                <w:sz w:val="15"/>
              </w:rPr>
              <w:t>1,111</w:t>
            </w:r>
          </w:p>
        </w:tc>
        <w:tc>
          <w:tcPr>
            <w:tcW w:type="dxa" w:w="907"/>
          </w:tcPr>
          <w:p>
            <w:pPr>
              <w:spacing w:after="0" w:line="240" w:lineRule="auto"/>
            </w:pPr>
            <w:r>
              <w:rPr>
                <w:b w:val="0"/>
                <w:i w:val="0"/>
                <w:sz w:val="15"/>
              </w:rPr>
              <w:t>1,123</w:t>
            </w:r>
          </w:p>
        </w:tc>
        <w:tc>
          <w:tcPr>
            <w:tcW w:type="dxa" w:w="1361"/>
          </w:tcPr>
          <w:p>
            <w:pPr>
              <w:spacing w:after="0" w:line="240" w:lineRule="auto"/>
            </w:pPr>
            <w:r>
              <w:rPr>
                <w:b w:val="0"/>
                <w:i w:val="0"/>
                <w:sz w:val="15"/>
              </w:rPr>
              <w:t>547</w:t>
            </w:r>
          </w:p>
        </w:tc>
        <w:tc>
          <w:tcPr>
            <w:tcW w:type="dxa" w:w="1247"/>
          </w:tcPr>
          <w:p>
            <w:pPr>
              <w:spacing w:after="0" w:line="240" w:lineRule="auto"/>
            </w:pPr>
            <w:r>
              <w:rPr>
                <w:b w:val="0"/>
                <w:i w:val="0"/>
                <w:sz w:val="15"/>
              </w:rPr>
              <w:t>79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1,064</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D5</w:t>
            </w:r>
          </w:p>
        </w:tc>
        <w:tc>
          <w:tcPr>
            <w:tcW w:type="dxa" w:w="1020"/>
          </w:tcPr>
          <w:p>
            <w:pPr>
              <w:spacing w:after="0" w:line="240" w:lineRule="auto"/>
            </w:pPr>
            <w:r>
              <w:rPr>
                <w:b w:val="0"/>
                <w:i w:val="0"/>
                <w:sz w:val="15"/>
              </w:rPr>
              <w:t>4,235</w:t>
            </w:r>
          </w:p>
        </w:tc>
        <w:tc>
          <w:tcPr>
            <w:tcW w:type="dxa" w:w="907"/>
          </w:tcPr>
          <w:p>
            <w:pPr>
              <w:spacing w:after="0" w:line="240" w:lineRule="auto"/>
            </w:pPr>
            <w:r>
              <w:rPr>
                <w:b w:val="0"/>
                <w:i w:val="0"/>
                <w:sz w:val="15"/>
              </w:rPr>
              <w:t>1,538</w:t>
            </w:r>
          </w:p>
        </w:tc>
        <w:tc>
          <w:tcPr>
            <w:tcW w:type="dxa" w:w="907"/>
          </w:tcPr>
          <w:p>
            <w:pPr>
              <w:spacing w:after="0" w:line="240" w:lineRule="auto"/>
            </w:pPr>
            <w:r>
              <w:rPr>
                <w:b w:val="0"/>
                <w:i w:val="0"/>
                <w:sz w:val="15"/>
              </w:rPr>
              <w:t>768</w:t>
            </w:r>
          </w:p>
        </w:tc>
        <w:tc>
          <w:tcPr>
            <w:tcW w:type="dxa" w:w="1361"/>
          </w:tcPr>
          <w:p>
            <w:pPr>
              <w:spacing w:after="0" w:line="240" w:lineRule="auto"/>
            </w:pPr>
            <w:r>
              <w:rPr>
                <w:b w:val="0"/>
                <w:i w:val="0"/>
                <w:sz w:val="15"/>
              </w:rPr>
              <w:t>109</w:t>
            </w:r>
          </w:p>
        </w:tc>
        <w:tc>
          <w:tcPr>
            <w:tcW w:type="dxa" w:w="1247"/>
          </w:tcPr>
          <w:p>
            <w:pPr>
              <w:spacing w:after="0" w:line="240" w:lineRule="auto"/>
            </w:pPr>
            <w:r>
              <w:rPr>
                <w:b w:val="0"/>
                <w:i w:val="0"/>
                <w:sz w:val="15"/>
              </w:rPr>
              <w:t>213</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1,607</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C3</w:t>
            </w:r>
          </w:p>
        </w:tc>
        <w:tc>
          <w:tcPr>
            <w:tcW w:type="dxa" w:w="1020"/>
          </w:tcPr>
          <w:p>
            <w:pPr>
              <w:spacing w:after="0" w:line="240" w:lineRule="auto"/>
            </w:pPr>
            <w:r>
              <w:rPr>
                <w:b w:val="0"/>
                <w:i w:val="0"/>
                <w:sz w:val="15"/>
              </w:rPr>
              <w:t>2,810</w:t>
            </w:r>
          </w:p>
        </w:tc>
        <w:tc>
          <w:tcPr>
            <w:tcW w:type="dxa" w:w="907"/>
          </w:tcPr>
          <w:p>
            <w:pPr>
              <w:spacing w:after="0" w:line="240" w:lineRule="auto"/>
            </w:pPr>
            <w:r>
              <w:rPr>
                <w:b w:val="0"/>
                <w:i w:val="0"/>
                <w:sz w:val="15"/>
              </w:rPr>
              <w:t>601</w:t>
            </w:r>
          </w:p>
        </w:tc>
        <w:tc>
          <w:tcPr>
            <w:tcW w:type="dxa" w:w="907"/>
          </w:tcPr>
          <w:p>
            <w:pPr>
              <w:spacing w:after="0" w:line="240" w:lineRule="auto"/>
            </w:pPr>
            <w:r>
              <w:rPr>
                <w:b w:val="0"/>
                <w:i w:val="0"/>
                <w:sz w:val="15"/>
              </w:rPr>
              <w:t>440</w:t>
            </w:r>
          </w:p>
        </w:tc>
        <w:tc>
          <w:tcPr>
            <w:tcW w:type="dxa" w:w="1361"/>
          </w:tcPr>
          <w:p>
            <w:pPr>
              <w:spacing w:after="0" w:line="240" w:lineRule="auto"/>
            </w:pPr>
            <w:r>
              <w:rPr>
                <w:b w:val="0"/>
                <w:i w:val="0"/>
                <w:sz w:val="15"/>
              </w:rPr>
              <w:t>14</w:t>
            </w:r>
          </w:p>
        </w:tc>
        <w:tc>
          <w:tcPr>
            <w:tcW w:type="dxa" w:w="1247"/>
          </w:tcPr>
          <w:p>
            <w:pPr>
              <w:spacing w:after="0" w:line="240" w:lineRule="auto"/>
            </w:pPr>
            <w:r>
              <w:rPr>
                <w:b w:val="0"/>
                <w:i w:val="0"/>
                <w:sz w:val="15"/>
              </w:rPr>
              <w:t>85</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1,670</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C4</w:t>
            </w:r>
          </w:p>
        </w:tc>
        <w:tc>
          <w:tcPr>
            <w:tcW w:type="dxa" w:w="1020"/>
          </w:tcPr>
          <w:p>
            <w:pPr>
              <w:spacing w:after="0" w:line="240" w:lineRule="auto"/>
            </w:pPr>
            <w:r>
              <w:rPr>
                <w:b w:val="0"/>
                <w:i w:val="0"/>
                <w:sz w:val="15"/>
              </w:rPr>
              <w:t>3,153</w:t>
            </w:r>
          </w:p>
        </w:tc>
        <w:tc>
          <w:tcPr>
            <w:tcW w:type="dxa" w:w="907"/>
          </w:tcPr>
          <w:p>
            <w:pPr>
              <w:spacing w:after="0" w:line="240" w:lineRule="auto"/>
            </w:pPr>
            <w:r>
              <w:rPr>
                <w:b w:val="0"/>
                <w:i w:val="0"/>
                <w:sz w:val="15"/>
              </w:rPr>
              <w:t>768</w:t>
            </w:r>
          </w:p>
        </w:tc>
        <w:tc>
          <w:tcPr>
            <w:tcW w:type="dxa" w:w="907"/>
          </w:tcPr>
          <w:p>
            <w:pPr>
              <w:spacing w:after="0" w:line="240" w:lineRule="auto"/>
            </w:pPr>
            <w:r>
              <w:rPr>
                <w:b w:val="0"/>
                <w:i w:val="0"/>
                <w:sz w:val="15"/>
              </w:rPr>
              <w:t>639</w:t>
            </w:r>
          </w:p>
        </w:tc>
        <w:tc>
          <w:tcPr>
            <w:tcW w:type="dxa" w:w="1361"/>
          </w:tcPr>
          <w:p>
            <w:pPr>
              <w:spacing w:after="0" w:line="240" w:lineRule="auto"/>
            </w:pPr>
            <w:r>
              <w:rPr>
                <w:b w:val="0"/>
                <w:i w:val="0"/>
                <w:sz w:val="15"/>
              </w:rPr>
              <w:t>139</w:t>
            </w:r>
          </w:p>
        </w:tc>
        <w:tc>
          <w:tcPr>
            <w:tcW w:type="dxa" w:w="1247"/>
          </w:tcPr>
          <w:p>
            <w:pPr>
              <w:spacing w:after="0" w:line="240" w:lineRule="auto"/>
            </w:pPr>
            <w:r>
              <w:rPr>
                <w:b w:val="0"/>
                <w:i w:val="0"/>
                <w:sz w:val="15"/>
              </w:rPr>
              <w:t>49</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1,558</w:t>
            </w:r>
          </w:p>
        </w:tc>
        <w:tc>
          <w:tcPr>
            <w:tcW w:type="dxa" w:w="907"/>
          </w:tcPr>
          <w:p>
            <w:pPr>
              <w:spacing w:after="0" w:line="240" w:lineRule="auto"/>
            </w:pPr>
            <w:r>
              <w:rPr>
                <w:b w:val="0"/>
                <w:i w:val="0"/>
                <w:sz w:val="15"/>
              </w:rPr>
              <w:t>500</w:t>
            </w:r>
          </w:p>
        </w:tc>
      </w:tr>
      <w:tr>
        <w:tc>
          <w:tcPr>
            <w:tcW w:type="dxa" w:w="680"/>
          </w:tcPr>
          <w:p>
            <w:pPr>
              <w:spacing w:after="0" w:line="240" w:lineRule="auto"/>
            </w:pPr>
            <w:r>
              <w:rPr>
                <w:b w:val="0"/>
                <w:i w:val="0"/>
                <w:sz w:val="15"/>
              </w:rPr>
              <w:t>N114 V</w:t>
            </w:r>
            <w:r>
              <w:rPr>
                <w:i w:val="0"/>
                <w:sz w:val="15"/>
                <w:vertAlign w:val="subscript"/>
              </w:rPr>
              <w:t>H</w:t>
            </w:r>
          </w:p>
        </w:tc>
        <w:tc>
          <w:tcPr>
            <w:tcW w:type="dxa" w:w="794"/>
          </w:tcPr>
          <w:p>
            <w:pPr>
              <w:spacing w:after="0" w:line="240" w:lineRule="auto"/>
            </w:pPr>
            <w:r>
              <w:rPr>
                <w:b w:val="0"/>
                <w:i w:val="0"/>
                <w:sz w:val="15"/>
              </w:rPr>
              <w:t>D1</w:t>
            </w:r>
          </w:p>
        </w:tc>
        <w:tc>
          <w:tcPr>
            <w:tcW w:type="dxa" w:w="1020"/>
          </w:tcPr>
          <w:p>
            <w:pPr>
              <w:spacing w:after="0" w:line="240" w:lineRule="auto"/>
            </w:pPr>
            <w:r>
              <w:rPr>
                <w:b w:val="0"/>
                <w:i w:val="0"/>
                <w:sz w:val="15"/>
              </w:rPr>
              <w:t>3,939</w:t>
            </w:r>
          </w:p>
        </w:tc>
        <w:tc>
          <w:tcPr>
            <w:tcW w:type="dxa" w:w="907"/>
          </w:tcPr>
          <w:p>
            <w:pPr>
              <w:spacing w:after="0" w:line="240" w:lineRule="auto"/>
            </w:pPr>
            <w:r>
              <w:rPr>
                <w:b w:val="0"/>
                <w:i w:val="0"/>
                <w:sz w:val="15"/>
              </w:rPr>
              <w:t>680</w:t>
            </w:r>
          </w:p>
        </w:tc>
        <w:tc>
          <w:tcPr>
            <w:tcW w:type="dxa" w:w="907"/>
          </w:tcPr>
          <w:p>
            <w:pPr>
              <w:spacing w:after="0" w:line="240" w:lineRule="auto"/>
            </w:pPr>
            <w:r>
              <w:rPr>
                <w:b w:val="0"/>
                <w:i w:val="0"/>
                <w:sz w:val="15"/>
              </w:rPr>
              <w:t>1,217</w:t>
            </w:r>
          </w:p>
        </w:tc>
        <w:tc>
          <w:tcPr>
            <w:tcW w:type="dxa" w:w="1361"/>
          </w:tcPr>
          <w:p>
            <w:pPr>
              <w:spacing w:after="0" w:line="240" w:lineRule="auto"/>
            </w:pPr>
            <w:r>
              <w:rPr>
                <w:b w:val="0"/>
                <w:i w:val="0"/>
                <w:sz w:val="15"/>
              </w:rPr>
              <w:t>553</w:t>
            </w:r>
          </w:p>
        </w:tc>
        <w:tc>
          <w:tcPr>
            <w:tcW w:type="dxa" w:w="1247"/>
          </w:tcPr>
          <w:p>
            <w:pPr>
              <w:spacing w:after="0" w:line="240" w:lineRule="auto"/>
            </w:pPr>
            <w:r>
              <w:rPr>
                <w:b w:val="0"/>
                <w:i w:val="0"/>
                <w:sz w:val="15"/>
              </w:rPr>
              <w:t>77</w:t>
            </w:r>
          </w:p>
        </w:tc>
        <w:tc>
          <w:tcPr>
            <w:tcW w:type="dxa" w:w="1134"/>
          </w:tcPr>
          <w:p>
            <w:pPr>
              <w:spacing w:after="0" w:line="240" w:lineRule="auto"/>
            </w:pPr>
            <w:r>
              <w:rPr>
                <w:b w:val="0"/>
                <w:i w:val="0"/>
                <w:sz w:val="15"/>
              </w:rPr>
              <w:t>0</w:t>
            </w:r>
          </w:p>
        </w:tc>
        <w:tc>
          <w:tcPr>
            <w:tcW w:type="dxa" w:w="907"/>
          </w:tcPr>
          <w:p>
            <w:pPr>
              <w:spacing w:after="0" w:line="240" w:lineRule="auto"/>
            </w:pPr>
            <w:r>
              <w:rPr>
                <w:b w:val="0"/>
                <w:i w:val="0"/>
                <w:sz w:val="15"/>
              </w:rPr>
              <w:t>1,412</w:t>
            </w:r>
          </w:p>
        </w:tc>
        <w:tc>
          <w:tcPr>
            <w:tcW w:type="dxa" w:w="907"/>
          </w:tcPr>
          <w:p>
            <w:pPr>
              <w:spacing w:after="0" w:line="240" w:lineRule="auto"/>
            </w:pPr>
            <w:r>
              <w:rPr>
                <w:b w:val="0"/>
                <w:i w:val="0"/>
                <w:sz w:val="15"/>
              </w:rPr>
              <w:t>500</w:t>
            </w:r>
          </w:p>
        </w:tc>
      </w:tr>
    </w:tbl>
    <w:p>
      <w:pPr>
        <w:spacing w:after="80"/>
      </w:pPr>
      <w:r>
        <w:rPr>
          <w:b/>
          <w:i w:val="0"/>
          <w:sz w:val="19"/>
        </w:rPr>
        <w:t>Calling results</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850"/>
          </w:tcPr>
          <w:p>
            <w:pPr>
              <w:spacing w:after="0"/>
            </w:pPr>
            <w:r>
              <w:rPr>
                <w:b/>
                <w:i w:val="0"/>
                <w:sz w:val="15"/>
              </w:rPr>
              <w:t>Assay</w:t>
            </w:r>
          </w:p>
        </w:tc>
        <w:tc>
          <w:tcPr>
            <w:tcW w:type="dxa" w:w="907"/>
          </w:tcPr>
          <w:p>
            <w:pPr>
              <w:spacing w:after="0"/>
            </w:pPr>
            <w:r>
              <w:rPr>
                <w:b/>
                <w:i w:val="0"/>
                <w:sz w:val="15"/>
              </w:rPr>
              <w:t>Library</w:t>
            </w:r>
          </w:p>
        </w:tc>
        <w:tc>
          <w:tcPr>
            <w:tcW w:type="dxa" w:w="1587"/>
          </w:tcPr>
          <w:p>
            <w:pPr>
              <w:spacing w:after="0"/>
            </w:pPr>
            <w:r>
              <w:rPr>
                <w:b/>
                <w:i w:val="0"/>
                <w:sz w:val="15"/>
              </w:rPr>
              <w:t>Candidates tested</w:t>
            </w:r>
          </w:p>
        </w:tc>
        <w:tc>
          <w:tcPr>
            <w:tcW w:type="dxa" w:w="1417"/>
          </w:tcPr>
          <w:p>
            <w:pPr>
              <w:spacing w:after="0"/>
            </w:pPr>
            <w:r>
              <w:rPr>
                <w:b/>
                <w:i w:val="0"/>
                <w:sz w:val="15"/>
              </w:rPr>
              <w:t>Calls (FDR ≤ 0.05)</w:t>
            </w:r>
          </w:p>
        </w:tc>
        <w:tc>
          <w:tcPr>
            <w:tcW w:type="dxa" w:w="1701"/>
          </w:tcPr>
          <w:p>
            <w:pPr>
              <w:spacing w:after="0"/>
            </w:pPr>
            <w:r>
              <w:rPr>
                <w:b/>
                <w:i w:val="0"/>
                <w:sz w:val="15"/>
              </w:rPr>
              <w:t>Unique density (×10</w:t>
            </w:r>
            <w:r>
              <w:rPr>
                <w:b/>
                <w:i w:val="0"/>
                <w:sz w:val="15"/>
                <w:vertAlign w:val="superscript"/>
              </w:rPr>
              <w:t>−5</w:t>
            </w:r>
            <w:r>
              <w:rPr>
                <w:b/>
                <w:i w:val="0"/>
                <w:sz w:val="15"/>
              </w:rPr>
              <w:t>)</w:t>
            </w:r>
          </w:p>
        </w:tc>
        <w:tc>
          <w:tcPr>
            <w:tcW w:type="dxa" w:w="1701"/>
          </w:tcPr>
          <w:p>
            <w:pPr>
              <w:spacing w:after="0"/>
            </w:pPr>
            <w:r>
              <w:rPr>
                <w:b/>
                <w:i w:val="0"/>
                <w:sz w:val="15"/>
              </w:rPr>
              <w:t>Read-weighted frequency (×10</w:t>
            </w:r>
            <w:r>
              <w:rPr>
                <w:b/>
                <w:i w:val="0"/>
                <w:sz w:val="15"/>
                <w:vertAlign w:val="superscript"/>
              </w:rPr>
              <w:t>−3</w:t>
            </w:r>
            <w:r>
              <w:rPr>
                <w:b/>
                <w:i w:val="0"/>
                <w:sz w:val="15"/>
              </w:rPr>
              <w:t>)</w:t>
            </w:r>
          </w:p>
        </w:tc>
        <w:tc>
          <w:tcPr>
            <w:tcW w:type="dxa" w:w="1701"/>
          </w:tcPr>
          <w:p>
            <w:pPr>
              <w:spacing w:after="0"/>
            </w:pPr>
            <w:r>
              <w:rPr>
                <w:b/>
                <w:i w:val="0"/>
                <w:sz w:val="15"/>
              </w:rPr>
              <w:t>Clone-weighted frequency (×10</w:t>
            </w:r>
            <w:r>
              <w:rPr>
                <w:b/>
                <w:i w:val="0"/>
                <w:sz w:val="15"/>
                <w:vertAlign w:val="superscript"/>
              </w:rPr>
              <w:t>−3</w:t>
            </w:r>
            <w:r>
              <w:rPr>
                <w:b/>
                <w:i w:val="0"/>
                <w:sz w:val="15"/>
              </w:rPr>
              <w:t>)</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WT2</w:t>
            </w:r>
          </w:p>
        </w:tc>
        <w:tc>
          <w:tcPr>
            <w:tcW w:type="dxa" w:w="1587"/>
          </w:tcPr>
          <w:p>
            <w:pPr>
              <w:spacing w:after="0" w:line="240" w:lineRule="auto"/>
            </w:pPr>
            <w:r>
              <w:rPr>
                <w:b w:val="0"/>
                <w:i w:val="0"/>
                <w:sz w:val="15"/>
              </w:rPr>
              <w:t>415</w:t>
            </w:r>
          </w:p>
        </w:tc>
        <w:tc>
          <w:tcPr>
            <w:tcW w:type="dxa" w:w="1417"/>
          </w:tcPr>
          <w:p>
            <w:pPr>
              <w:spacing w:after="0" w:line="240" w:lineRule="auto"/>
            </w:pPr>
            <w:r>
              <w:rPr>
                <w:b w:val="0"/>
                <w:i w:val="0"/>
                <w:sz w:val="15"/>
              </w:rPr>
              <w:t>221</w:t>
            </w:r>
          </w:p>
        </w:tc>
        <w:tc>
          <w:tcPr>
            <w:tcW w:type="dxa" w:w="1701"/>
          </w:tcPr>
          <w:p>
            <w:pPr>
              <w:spacing w:after="0" w:line="240" w:lineRule="auto"/>
            </w:pPr>
            <w:r>
              <w:rPr>
                <w:b w:val="0"/>
                <w:i w:val="0"/>
                <w:sz w:val="15"/>
              </w:rPr>
              <w:t>83.748</w:t>
            </w:r>
          </w:p>
        </w:tc>
        <w:tc>
          <w:tcPr>
            <w:tcW w:type="dxa" w:w="1701"/>
          </w:tcPr>
          <w:p>
            <w:pPr>
              <w:spacing w:after="0" w:line="240" w:lineRule="auto"/>
            </w:pPr>
            <w:r>
              <w:rPr>
                <w:b w:val="0"/>
                <w:i w:val="0"/>
                <w:sz w:val="15"/>
              </w:rPr>
              <w:t>2.8242</w:t>
            </w:r>
          </w:p>
        </w:tc>
        <w:tc>
          <w:tcPr>
            <w:tcW w:type="dxa" w:w="1701"/>
          </w:tcPr>
          <w:p>
            <w:pPr>
              <w:spacing w:after="0" w:line="240" w:lineRule="auto"/>
            </w:pPr>
            <w:r>
              <w:rPr>
                <w:b w:val="0"/>
                <w:i w:val="0"/>
                <w:sz w:val="15"/>
              </w:rPr>
              <w:t>16.3043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WT3</w:t>
            </w:r>
          </w:p>
        </w:tc>
        <w:tc>
          <w:tcPr>
            <w:tcW w:type="dxa" w:w="1587"/>
          </w:tcPr>
          <w:p>
            <w:pPr>
              <w:spacing w:after="0" w:line="240" w:lineRule="auto"/>
            </w:pPr>
            <w:r>
              <w:rPr>
                <w:b w:val="0"/>
                <w:i w:val="0"/>
                <w:sz w:val="15"/>
              </w:rPr>
              <w:t>534</w:t>
            </w:r>
          </w:p>
        </w:tc>
        <w:tc>
          <w:tcPr>
            <w:tcW w:type="dxa" w:w="1417"/>
          </w:tcPr>
          <w:p>
            <w:pPr>
              <w:spacing w:after="0" w:line="240" w:lineRule="auto"/>
            </w:pPr>
            <w:r>
              <w:rPr>
                <w:b w:val="0"/>
                <w:i w:val="0"/>
                <w:sz w:val="15"/>
              </w:rPr>
              <w:t>344</w:t>
            </w:r>
          </w:p>
        </w:tc>
        <w:tc>
          <w:tcPr>
            <w:tcW w:type="dxa" w:w="1701"/>
          </w:tcPr>
          <w:p>
            <w:pPr>
              <w:spacing w:after="0" w:line="240" w:lineRule="auto"/>
            </w:pPr>
            <w:r>
              <w:rPr>
                <w:b w:val="0"/>
                <w:i w:val="0"/>
                <w:sz w:val="15"/>
              </w:rPr>
              <w:t>133.205</w:t>
            </w:r>
          </w:p>
        </w:tc>
        <w:tc>
          <w:tcPr>
            <w:tcW w:type="dxa" w:w="1701"/>
          </w:tcPr>
          <w:p>
            <w:pPr>
              <w:spacing w:after="0" w:line="240" w:lineRule="auto"/>
            </w:pPr>
            <w:r>
              <w:rPr>
                <w:b w:val="0"/>
                <w:i w:val="0"/>
                <w:sz w:val="15"/>
              </w:rPr>
              <w:t>22.465</w:t>
            </w:r>
          </w:p>
        </w:tc>
        <w:tc>
          <w:tcPr>
            <w:tcW w:type="dxa" w:w="1701"/>
          </w:tcPr>
          <w:p>
            <w:pPr>
              <w:spacing w:after="0" w:line="240" w:lineRule="auto"/>
            </w:pPr>
            <w:r>
              <w:rPr>
                <w:b w:val="0"/>
                <w:i w:val="0"/>
                <w:sz w:val="15"/>
              </w:rPr>
              <w:t>24.9184</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WT4</w:t>
            </w:r>
          </w:p>
        </w:tc>
        <w:tc>
          <w:tcPr>
            <w:tcW w:type="dxa" w:w="1587"/>
          </w:tcPr>
          <w:p>
            <w:pPr>
              <w:spacing w:after="0" w:line="240" w:lineRule="auto"/>
            </w:pPr>
            <w:r>
              <w:rPr>
                <w:b w:val="0"/>
                <w:i w:val="0"/>
                <w:sz w:val="15"/>
              </w:rPr>
              <w:t>306</w:t>
            </w:r>
          </w:p>
        </w:tc>
        <w:tc>
          <w:tcPr>
            <w:tcW w:type="dxa" w:w="1417"/>
          </w:tcPr>
          <w:p>
            <w:pPr>
              <w:spacing w:after="0" w:line="240" w:lineRule="auto"/>
            </w:pPr>
            <w:r>
              <w:rPr>
                <w:b w:val="0"/>
                <w:i w:val="0"/>
                <w:sz w:val="15"/>
              </w:rPr>
              <w:t>73</w:t>
            </w:r>
          </w:p>
        </w:tc>
        <w:tc>
          <w:tcPr>
            <w:tcW w:type="dxa" w:w="1701"/>
          </w:tcPr>
          <w:p>
            <w:pPr>
              <w:spacing w:after="0" w:line="240" w:lineRule="auto"/>
            </w:pPr>
            <w:r>
              <w:rPr>
                <w:b w:val="0"/>
                <w:i w:val="0"/>
                <w:sz w:val="15"/>
              </w:rPr>
              <w:t>27.826</w:t>
            </w:r>
          </w:p>
        </w:tc>
        <w:tc>
          <w:tcPr>
            <w:tcW w:type="dxa" w:w="1701"/>
          </w:tcPr>
          <w:p>
            <w:pPr>
              <w:spacing w:after="0" w:line="240" w:lineRule="auto"/>
            </w:pPr>
            <w:r>
              <w:rPr>
                <w:b w:val="0"/>
                <w:i w:val="0"/>
                <w:sz w:val="15"/>
              </w:rPr>
              <w:t>4.9338</w:t>
            </w:r>
          </w:p>
        </w:tc>
        <w:tc>
          <w:tcPr>
            <w:tcW w:type="dxa" w:w="1701"/>
          </w:tcPr>
          <w:p>
            <w:pPr>
              <w:spacing w:after="0" w:line="240" w:lineRule="auto"/>
            </w:pPr>
            <w:r>
              <w:rPr>
                <w:b w:val="0"/>
                <w:i w:val="0"/>
                <w:sz w:val="15"/>
              </w:rPr>
              <w:t>5.3166</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KO1</w:t>
            </w:r>
          </w:p>
        </w:tc>
        <w:tc>
          <w:tcPr>
            <w:tcW w:type="dxa" w:w="1587"/>
          </w:tcPr>
          <w:p>
            <w:pPr>
              <w:spacing w:after="0" w:line="240" w:lineRule="auto"/>
            </w:pPr>
            <w:r>
              <w:rPr>
                <w:b w:val="0"/>
                <w:i w:val="0"/>
                <w:sz w:val="15"/>
              </w:rPr>
              <w:t>214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KO2</w:t>
            </w:r>
          </w:p>
        </w:tc>
        <w:tc>
          <w:tcPr>
            <w:tcW w:type="dxa" w:w="1587"/>
          </w:tcPr>
          <w:p>
            <w:pPr>
              <w:spacing w:after="0" w:line="240" w:lineRule="auto"/>
            </w:pPr>
            <w:r>
              <w:rPr>
                <w:b w:val="0"/>
                <w:i w:val="0"/>
                <w:sz w:val="15"/>
              </w:rPr>
              <w:t>256</w:t>
            </w:r>
          </w:p>
        </w:tc>
        <w:tc>
          <w:tcPr>
            <w:tcW w:type="dxa" w:w="1417"/>
          </w:tcPr>
          <w:p>
            <w:pPr>
              <w:spacing w:after="0" w:line="240" w:lineRule="auto"/>
            </w:pPr>
            <w:r>
              <w:rPr>
                <w:b w:val="0"/>
                <w:i w:val="0"/>
                <w:sz w:val="15"/>
              </w:rPr>
              <w:t>2</w:t>
            </w:r>
          </w:p>
        </w:tc>
        <w:tc>
          <w:tcPr>
            <w:tcW w:type="dxa" w:w="1701"/>
          </w:tcPr>
          <w:p>
            <w:pPr>
              <w:spacing w:after="0" w:line="240" w:lineRule="auto"/>
            </w:pPr>
            <w:r>
              <w:rPr>
                <w:b w:val="0"/>
                <w:i w:val="0"/>
                <w:sz w:val="15"/>
              </w:rPr>
              <w:t>0.76</w:t>
            </w:r>
          </w:p>
        </w:tc>
        <w:tc>
          <w:tcPr>
            <w:tcW w:type="dxa" w:w="1701"/>
          </w:tcPr>
          <w:p>
            <w:pPr>
              <w:spacing w:after="0" w:line="240" w:lineRule="auto"/>
            </w:pPr>
            <w:r>
              <w:rPr>
                <w:b w:val="0"/>
                <w:i w:val="0"/>
                <w:sz w:val="15"/>
              </w:rPr>
              <w:t>0.1096</w:t>
            </w:r>
          </w:p>
        </w:tc>
        <w:tc>
          <w:tcPr>
            <w:tcW w:type="dxa" w:w="1701"/>
          </w:tcPr>
          <w:p>
            <w:pPr>
              <w:spacing w:after="0" w:line="240" w:lineRule="auto"/>
            </w:pPr>
            <w:r>
              <w:rPr>
                <w:b w:val="0"/>
                <w:i w:val="0"/>
                <w:sz w:val="15"/>
              </w:rPr>
              <w:t>0.2363</w:t>
            </w:r>
          </w:p>
        </w:tc>
      </w:tr>
      <w:tr>
        <w:tc>
          <w:tcPr>
            <w:tcW w:type="dxa" w:w="850"/>
          </w:tcPr>
          <w:p>
            <w:pPr>
              <w:spacing w:after="0" w:line="240" w:lineRule="auto"/>
            </w:pPr>
            <w:r>
              <w:rPr>
                <w:b w:val="0"/>
                <w:i w:val="0"/>
                <w:sz w:val="15"/>
              </w:rPr>
              <w:t>J</w:t>
            </w:r>
            <w:r>
              <w:rPr>
                <w:i w:val="0"/>
                <w:sz w:val="15"/>
                <w:vertAlign w:val="subscript"/>
              </w:rPr>
              <w:t>H</w:t>
            </w:r>
            <w:r>
              <w:rPr>
                <w:b w:val="0"/>
                <w:i w:val="0"/>
                <w:sz w:val="15"/>
              </w:rPr>
              <w:t>4</w:t>
            </w:r>
          </w:p>
        </w:tc>
        <w:tc>
          <w:tcPr>
            <w:tcW w:type="dxa" w:w="907"/>
          </w:tcPr>
          <w:p>
            <w:pPr>
              <w:spacing w:after="0" w:line="240" w:lineRule="auto"/>
            </w:pPr>
            <w:r>
              <w:rPr>
                <w:b w:val="0"/>
                <w:i w:val="0"/>
                <w:sz w:val="15"/>
              </w:rPr>
              <w:t>KO3</w:t>
            </w:r>
          </w:p>
        </w:tc>
        <w:tc>
          <w:tcPr>
            <w:tcW w:type="dxa" w:w="1587"/>
          </w:tcPr>
          <w:p>
            <w:pPr>
              <w:spacing w:after="0" w:line="240" w:lineRule="auto"/>
            </w:pPr>
            <w:r>
              <w:rPr>
                <w:b w:val="0"/>
                <w:i w:val="0"/>
                <w:sz w:val="15"/>
              </w:rPr>
              <w:t>254</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C1</w:t>
            </w:r>
          </w:p>
        </w:tc>
        <w:tc>
          <w:tcPr>
            <w:tcW w:type="dxa" w:w="1587"/>
          </w:tcPr>
          <w:p>
            <w:pPr>
              <w:spacing w:after="0" w:line="240" w:lineRule="auto"/>
            </w:pPr>
            <w:r>
              <w:rPr>
                <w:b w:val="0"/>
                <w:i w:val="0"/>
                <w:sz w:val="15"/>
              </w:rPr>
              <w:t>279</w:t>
            </w:r>
          </w:p>
        </w:tc>
        <w:tc>
          <w:tcPr>
            <w:tcW w:type="dxa" w:w="1417"/>
          </w:tcPr>
          <w:p>
            <w:pPr>
              <w:spacing w:after="0" w:line="240" w:lineRule="auto"/>
            </w:pPr>
            <w:r>
              <w:rPr>
                <w:b w:val="0"/>
                <w:i w:val="0"/>
                <w:sz w:val="15"/>
              </w:rPr>
              <w:t>70</w:t>
            </w:r>
          </w:p>
        </w:tc>
        <w:tc>
          <w:tcPr>
            <w:tcW w:type="dxa" w:w="1701"/>
          </w:tcPr>
          <w:p>
            <w:pPr>
              <w:spacing w:after="0" w:line="240" w:lineRule="auto"/>
            </w:pPr>
            <w:r>
              <w:rPr>
                <w:b w:val="0"/>
                <w:i w:val="0"/>
                <w:sz w:val="15"/>
              </w:rPr>
              <w:t>23.264</w:t>
            </w:r>
          </w:p>
        </w:tc>
        <w:tc>
          <w:tcPr>
            <w:tcW w:type="dxa" w:w="1701"/>
          </w:tcPr>
          <w:p>
            <w:pPr>
              <w:spacing w:after="0" w:line="240" w:lineRule="auto"/>
            </w:pPr>
            <w:r>
              <w:rPr>
                <w:b w:val="0"/>
                <w:i w:val="0"/>
                <w:sz w:val="15"/>
              </w:rPr>
              <w:t>1.3333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D3</w:t>
            </w:r>
          </w:p>
        </w:tc>
        <w:tc>
          <w:tcPr>
            <w:tcW w:type="dxa" w:w="1587"/>
          </w:tcPr>
          <w:p>
            <w:pPr>
              <w:spacing w:after="0" w:line="240" w:lineRule="auto"/>
            </w:pPr>
            <w:r>
              <w:rPr>
                <w:b w:val="0"/>
                <w:i w:val="0"/>
                <w:sz w:val="15"/>
              </w:rPr>
              <w:t>299</w:t>
            </w:r>
          </w:p>
        </w:tc>
        <w:tc>
          <w:tcPr>
            <w:tcW w:type="dxa" w:w="1417"/>
          </w:tcPr>
          <w:p>
            <w:pPr>
              <w:spacing w:after="0" w:line="240" w:lineRule="auto"/>
            </w:pPr>
            <w:r>
              <w:rPr>
                <w:b w:val="0"/>
                <w:i w:val="0"/>
                <w:sz w:val="15"/>
              </w:rPr>
              <w:t>49</w:t>
            </w:r>
          </w:p>
        </w:tc>
        <w:tc>
          <w:tcPr>
            <w:tcW w:type="dxa" w:w="1701"/>
          </w:tcPr>
          <w:p>
            <w:pPr>
              <w:spacing w:after="0" w:line="240" w:lineRule="auto"/>
            </w:pPr>
            <w:r>
              <w:rPr>
                <w:b w:val="0"/>
                <w:i w:val="0"/>
                <w:sz w:val="15"/>
              </w:rPr>
              <w:t>16.246</w:t>
            </w:r>
          </w:p>
        </w:tc>
        <w:tc>
          <w:tcPr>
            <w:tcW w:type="dxa" w:w="1701"/>
          </w:tcPr>
          <w:p>
            <w:pPr>
              <w:spacing w:after="0" w:line="240" w:lineRule="auto"/>
            </w:pPr>
            <w:r>
              <w:rPr>
                <w:b w:val="0"/>
                <w:i w:val="0"/>
                <w:sz w:val="15"/>
              </w:rPr>
              <w:t>0.5789</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D5</w:t>
            </w:r>
          </w:p>
        </w:tc>
        <w:tc>
          <w:tcPr>
            <w:tcW w:type="dxa" w:w="1587"/>
          </w:tcPr>
          <w:p>
            <w:pPr>
              <w:spacing w:after="0" w:line="240" w:lineRule="auto"/>
            </w:pPr>
            <w:r>
              <w:rPr>
                <w:b w:val="0"/>
                <w:i w:val="0"/>
                <w:sz w:val="15"/>
              </w:rPr>
              <w:t>402</w:t>
            </w:r>
          </w:p>
        </w:tc>
        <w:tc>
          <w:tcPr>
            <w:tcW w:type="dxa" w:w="1417"/>
          </w:tcPr>
          <w:p>
            <w:pPr>
              <w:spacing w:after="0" w:line="240" w:lineRule="auto"/>
            </w:pPr>
            <w:r>
              <w:rPr>
                <w:b w:val="0"/>
                <w:i w:val="0"/>
                <w:sz w:val="15"/>
              </w:rPr>
              <w:t>173</w:t>
            </w:r>
          </w:p>
        </w:tc>
        <w:tc>
          <w:tcPr>
            <w:tcW w:type="dxa" w:w="1701"/>
          </w:tcPr>
          <w:p>
            <w:pPr>
              <w:spacing w:after="0" w:line="240" w:lineRule="auto"/>
            </w:pPr>
            <w:r>
              <w:rPr>
                <w:b w:val="0"/>
                <w:i w:val="0"/>
                <w:sz w:val="15"/>
              </w:rPr>
              <w:t>57.456</w:t>
            </w:r>
          </w:p>
        </w:tc>
        <w:tc>
          <w:tcPr>
            <w:tcW w:type="dxa" w:w="1701"/>
          </w:tcPr>
          <w:p>
            <w:pPr>
              <w:spacing w:after="0" w:line="240" w:lineRule="auto"/>
            </w:pPr>
            <w:r>
              <w:rPr>
                <w:b w:val="0"/>
                <w:i w:val="0"/>
                <w:sz w:val="15"/>
              </w:rPr>
              <w:t>2.8163</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C3</w:t>
            </w:r>
          </w:p>
        </w:tc>
        <w:tc>
          <w:tcPr>
            <w:tcW w:type="dxa" w:w="1587"/>
          </w:tcPr>
          <w:p>
            <w:pPr>
              <w:spacing w:after="0" w:line="240" w:lineRule="auto"/>
            </w:pPr>
            <w:r>
              <w:rPr>
                <w:b w:val="0"/>
                <w:i w:val="0"/>
                <w:sz w:val="15"/>
              </w:rPr>
              <w:t>187</w:t>
            </w:r>
          </w:p>
        </w:tc>
        <w:tc>
          <w:tcPr>
            <w:tcW w:type="dxa" w:w="1417"/>
          </w:tcPr>
          <w:p>
            <w:pPr>
              <w:spacing w:after="0" w:line="240" w:lineRule="auto"/>
            </w:pPr>
            <w:r>
              <w:rPr>
                <w:b w:val="0"/>
                <w:i w:val="0"/>
                <w:sz w:val="15"/>
              </w:rPr>
              <w:t>1</w:t>
            </w:r>
          </w:p>
        </w:tc>
        <w:tc>
          <w:tcPr>
            <w:tcW w:type="dxa" w:w="1701"/>
          </w:tcPr>
          <w:p>
            <w:pPr>
              <w:spacing w:after="0" w:line="240" w:lineRule="auto"/>
            </w:pPr>
            <w:r>
              <w:rPr>
                <w:b w:val="0"/>
                <w:i w:val="0"/>
                <w:sz w:val="15"/>
              </w:rPr>
              <w:t>0.327</w:t>
            </w:r>
          </w:p>
        </w:tc>
        <w:tc>
          <w:tcPr>
            <w:tcW w:type="dxa" w:w="1701"/>
          </w:tcPr>
          <w:p>
            <w:pPr>
              <w:spacing w:after="0" w:line="240" w:lineRule="auto"/>
            </w:pPr>
            <w:r>
              <w:rPr>
                <w:b w:val="0"/>
                <w:i w:val="0"/>
                <w:sz w:val="15"/>
              </w:rPr>
              <w:t>0.0065</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C4</w:t>
            </w:r>
          </w:p>
        </w:tc>
        <w:tc>
          <w:tcPr>
            <w:tcW w:type="dxa" w:w="1587"/>
          </w:tcPr>
          <w:p>
            <w:pPr>
              <w:spacing w:after="0" w:line="240" w:lineRule="auto"/>
            </w:pPr>
            <w:r>
              <w:rPr>
                <w:b w:val="0"/>
                <w:i w:val="0"/>
                <w:sz w:val="15"/>
              </w:rPr>
              <w:t>216</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r>
        <w:tc>
          <w:tcPr>
            <w:tcW w:type="dxa" w:w="850"/>
          </w:tcPr>
          <w:p>
            <w:pPr>
              <w:spacing w:after="0" w:line="240" w:lineRule="auto"/>
            </w:pPr>
            <w:r>
              <w:rPr>
                <w:b w:val="0"/>
                <w:i w:val="0"/>
                <w:sz w:val="15"/>
              </w:rPr>
              <w:t>N114 V</w:t>
            </w:r>
            <w:r>
              <w:rPr>
                <w:i w:val="0"/>
                <w:sz w:val="15"/>
                <w:vertAlign w:val="subscript"/>
              </w:rPr>
              <w:t>H</w:t>
            </w:r>
          </w:p>
        </w:tc>
        <w:tc>
          <w:tcPr>
            <w:tcW w:type="dxa" w:w="907"/>
          </w:tcPr>
          <w:p>
            <w:pPr>
              <w:spacing w:after="0" w:line="240" w:lineRule="auto"/>
            </w:pPr>
            <w:r>
              <w:rPr>
                <w:b w:val="0"/>
                <w:i w:val="0"/>
                <w:sz w:val="15"/>
              </w:rPr>
              <w:t>D1</w:t>
            </w:r>
          </w:p>
        </w:tc>
        <w:tc>
          <w:tcPr>
            <w:tcW w:type="dxa" w:w="1587"/>
          </w:tcPr>
          <w:p>
            <w:pPr>
              <w:spacing w:after="0" w:line="240" w:lineRule="auto"/>
            </w:pPr>
            <w:r>
              <w:rPr>
                <w:b w:val="0"/>
                <w:i w:val="0"/>
                <w:sz w:val="15"/>
              </w:rPr>
              <w:t>150</w:t>
            </w:r>
          </w:p>
        </w:tc>
        <w:tc>
          <w:tcPr>
            <w:tcW w:type="dxa" w:w="1417"/>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0</w:t>
            </w:r>
          </w:p>
        </w:tc>
        <w:tc>
          <w:tcPr>
            <w:tcW w:type="dxa" w:w="1701"/>
          </w:tcPr>
          <w:p>
            <w:pPr>
              <w:spacing w:after="0" w:line="240" w:lineRule="auto"/>
            </w:pPr>
            <w:r>
              <w:rPr>
                <w:b w:val="0"/>
                <w:i w:val="0"/>
                <w:sz w:val="15"/>
              </w:rPr>
              <w:t>–</w:t>
            </w:r>
          </w:p>
        </w:tc>
      </w:tr>
    </w:tbl>
    <w:p>
      <w:pPr>
        <w:keepLines/>
        <w:spacing w:after="80" w:line="240" w:lineRule="auto"/>
      </w:pPr>
      <w:r>
        <w:rPr>
          <w:b w:val="0"/>
          <w:i w:val="0"/>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i w:val="0"/>
          <w:sz w:val="17"/>
          <w:vertAlign w:val="superscript"/>
        </w:rPr>
        <w:t>−/−</w:t>
      </w:r>
      <w:r>
        <w:rPr>
          <w:b w:val="0"/>
          <w:i w:val="0"/>
          <w:sz w:val="17"/>
        </w:rPr>
        <w:t>; C1, D3 and D5, pMX-</w:t>
      </w:r>
      <w:r>
        <w:rPr>
          <w:i/>
          <w:sz w:val="17"/>
        </w:rPr>
        <w:t>Aicda</w:t>
      </w:r>
      <w:r>
        <w:rPr>
          <w:b w:val="0"/>
          <w:i w:val="0"/>
          <w:sz w:val="17"/>
        </w:rPr>
        <w:t xml:space="preserve"> subclones; C3, C4 and D1, empty-vector subclones.</w:t>
      </w:r>
    </w:p>
    <w:p>
      <w:pPr>
        <w:pageBreakBefore/>
      </w:pPr>
      <w:bookmarkStart w:id="35" w:name="tab_S4"/>
      <w:bookmarkEnd w:id="35"/>
      <w:r>
        <w:rPr>
          <w:b/>
          <w:i w:val="0"/>
          <w:sz w:val="20"/>
        </w:rPr>
        <w:t>Table S4. SHMtrace and two published Sanger analyses, metric by metric, related to Figures S14 and S15</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1973"/>
          </w:tcPr>
          <w:p>
            <w:pPr>
              <w:spacing w:after="0"/>
            </w:pPr>
            <w:r>
              <w:rPr>
                <w:b/>
                <w:i w:val="0"/>
                <w:sz w:val="15"/>
              </w:rPr>
              <w:t>Metric</w:t>
            </w:r>
          </w:p>
        </w:tc>
        <w:tc>
          <w:tcPr>
            <w:tcW w:type="dxa" w:w="1973"/>
          </w:tcPr>
          <w:p>
            <w:pPr>
              <w:spacing w:after="0"/>
            </w:pPr>
            <w:r>
              <w:rPr>
                <w:b/>
                <w:i w:val="0"/>
                <w:sz w:val="15"/>
              </w:rPr>
              <w:t>Maea: SHMtrace</w:t>
            </w:r>
          </w:p>
        </w:tc>
        <w:tc>
          <w:tcPr>
            <w:tcW w:type="dxa" w:w="1973"/>
          </w:tcPr>
          <w:p>
            <w:pPr>
              <w:spacing w:after="0"/>
            </w:pPr>
            <w:r>
              <w:rPr>
                <w:b/>
                <w:i w:val="0"/>
                <w:sz w:val="15"/>
              </w:rPr>
              <w:t>Maea: published</w:t>
            </w:r>
          </w:p>
        </w:tc>
        <w:tc>
          <w:tcPr>
            <w:tcW w:type="dxa" w:w="1973"/>
          </w:tcPr>
          <w:p>
            <w:pPr>
              <w:spacing w:after="0"/>
            </w:pPr>
            <w:r>
              <w:rPr>
                <w:b/>
                <w:i w:val="0"/>
                <w:sz w:val="15"/>
              </w:rPr>
              <w:t>Mkln1: SHMtrace</w:t>
            </w:r>
          </w:p>
        </w:tc>
        <w:tc>
          <w:tcPr>
            <w:tcW w:type="dxa" w:w="1973"/>
          </w:tcPr>
          <w:p>
            <w:pPr>
              <w:spacing w:after="0"/>
            </w:pPr>
            <w:r>
              <w:rPr>
                <w:b/>
                <w:i w:val="0"/>
                <w:sz w:val="15"/>
              </w:rPr>
              <w:t>Mkln1: published</w:t>
            </w:r>
          </w:p>
        </w:tc>
      </w:tr>
      <w:tr>
        <w:tc>
          <w:tcPr>
            <w:tcW w:type="dxa" w:w="1973"/>
          </w:tcPr>
          <w:p>
            <w:pPr>
              <w:spacing w:after="0" w:line="240" w:lineRule="auto"/>
            </w:pPr>
            <w:r>
              <w:rPr>
                <w:b w:val="0"/>
                <w:i w:val="0"/>
                <w:sz w:val="15"/>
              </w:rPr>
              <w:t>Mutation frequency (×10</w:t>
            </w:r>
            <w:r>
              <w:rPr>
                <w:i w:val="0"/>
                <w:sz w:val="15"/>
                <w:vertAlign w:val="superscript"/>
              </w:rPr>
              <w:t>−4</w:t>
            </w:r>
            <w:r>
              <w:rPr>
                <w:b w:val="0"/>
                <w:i w:val="0"/>
                <w:sz w:val="15"/>
              </w:rPr>
              <w:t>)</w:t>
            </w:r>
          </w:p>
        </w:tc>
        <w:tc>
          <w:tcPr>
            <w:tcW w:type="dxa" w:w="1973"/>
          </w:tcPr>
          <w:p>
            <w:pPr>
              <w:spacing w:after="0" w:line="240" w:lineRule="auto"/>
            </w:pPr>
            <w:r>
              <w:rPr>
                <w:b w:val="0"/>
                <w:i w:val="0"/>
                <w:sz w:val="15"/>
              </w:rPr>
              <w:t>99 → 22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102 → 13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counted as published (×10</w:t>
            </w:r>
            <w:r>
              <w:rPr>
                <w:i w:val="0"/>
                <w:sz w:val="15"/>
                <w:vertAlign w:val="superscript"/>
              </w:rPr>
              <w:t>−4</w:t>
            </w:r>
            <w:r>
              <w:rPr>
                <w:b w:val="0"/>
                <w:i w:val="0"/>
                <w:sz w:val="15"/>
              </w:rPr>
              <w:t>)</w:t>
            </w:r>
          </w:p>
        </w:tc>
        <w:tc>
          <w:tcPr>
            <w:tcW w:type="dxa" w:w="1973"/>
          </w:tcPr>
          <w:p>
            <w:pPr>
              <w:spacing w:after="0" w:line="240" w:lineRule="auto"/>
            </w:pPr>
            <w:r>
              <w:rPr>
                <w:b w:val="0"/>
                <w:i w:val="0"/>
                <w:sz w:val="15"/>
              </w:rPr>
              <w:t>89 → 20 ↓***</w:t>
            </w:r>
          </w:p>
        </w:tc>
        <w:tc>
          <w:tcPr>
            <w:tcW w:type="dxa" w:w="1973"/>
          </w:tcPr>
          <w:p>
            <w:pPr>
              <w:spacing w:after="0" w:line="240" w:lineRule="auto"/>
            </w:pPr>
            <w:r>
              <w:rPr>
                <w:b w:val="0"/>
                <w:i w:val="0"/>
                <w:sz w:val="15"/>
              </w:rPr>
              <w:t>100 → 23 ↓***</w:t>
            </w:r>
          </w:p>
        </w:tc>
        <w:tc>
          <w:tcPr>
            <w:tcW w:type="dxa" w:w="1973"/>
          </w:tcPr>
          <w:p>
            <w:pPr>
              <w:spacing w:after="0" w:line="240" w:lineRule="auto"/>
            </w:pPr>
            <w:r>
              <w:rPr>
                <w:b w:val="0"/>
                <w:i w:val="0"/>
                <w:sz w:val="15"/>
              </w:rPr>
              <w:t>80 → 8 ↓**</w:t>
            </w:r>
          </w:p>
        </w:tc>
        <w:tc>
          <w:tcPr>
            <w:tcW w:type="dxa" w:w="1973"/>
          </w:tcPr>
          <w:p>
            <w:pPr>
              <w:spacing w:after="0" w:line="240" w:lineRule="auto"/>
            </w:pPr>
            <w:r>
              <w:rPr>
                <w:b w:val="0"/>
                <w:i w:val="0"/>
                <w:sz w:val="15"/>
              </w:rPr>
              <w:t>68 → 9 ↓**</w:t>
            </w:r>
          </w:p>
        </w:tc>
      </w:tr>
      <w:tr>
        <w:tc>
          <w:tcPr>
            <w:tcW w:type="dxa" w:w="1973"/>
          </w:tcPr>
          <w:p>
            <w:pPr>
              <w:spacing w:after="0" w:line="240" w:lineRule="auto"/>
            </w:pPr>
            <w:r>
              <w:rPr>
                <w:b w:val="0"/>
                <w:i w:val="0"/>
                <w:sz w:val="15"/>
              </w:rPr>
              <w:t>Mutation frequency, evidence-based clone set (×10</w:t>
            </w:r>
            <w:r>
              <w:rPr>
                <w:i w:val="0"/>
                <w:sz w:val="15"/>
                <w:vertAlign w:val="superscript"/>
              </w:rPr>
              <w:t>−4</w:t>
            </w: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w:t>
            </w:r>
          </w:p>
        </w:tc>
        <w:tc>
          <w:tcPr>
            <w:tcW w:type="dxa" w:w="1973"/>
          </w:tcPr>
          <w:p>
            <w:pPr>
              <w:spacing w:after="0" w:line="240" w:lineRule="auto"/>
            </w:pPr>
            <w:r>
              <w:rPr>
                <w:b w:val="0"/>
                <w:i w:val="0"/>
                <w:sz w:val="15"/>
              </w:rPr>
              <w:t>92 → 12 ↓**</w:t>
            </w:r>
          </w:p>
        </w:tc>
        <w:tc>
          <w:tcPr>
            <w:tcW w:type="dxa" w:w="1973"/>
          </w:tcPr>
          <w:p>
            <w:pPr>
              <w:spacing w:after="0" w:line="240" w:lineRule="auto"/>
            </w:pPr>
            <w:r>
              <w:rPr>
                <w:b w:val="0"/>
                <w:i w:val="0"/>
                <w:sz w:val="15"/>
              </w:rPr>
              <w:t>–</w:t>
            </w:r>
          </w:p>
        </w:tc>
      </w:tr>
      <w:tr>
        <w:tc>
          <w:tcPr>
            <w:tcW w:type="dxa" w:w="1973"/>
          </w:tcPr>
          <w:p>
            <w:pPr>
              <w:spacing w:after="0" w:line="240" w:lineRule="auto"/>
            </w:pPr>
            <w:r>
              <w:rPr>
                <w:b w:val="0"/>
                <w:i w:val="0"/>
                <w:sz w:val="15"/>
              </w:rPr>
              <w:t>A:T mutations (% of all)</w:t>
            </w:r>
          </w:p>
        </w:tc>
        <w:tc>
          <w:tcPr>
            <w:tcW w:type="dxa" w:w="1973"/>
          </w:tcPr>
          <w:p>
            <w:pPr>
              <w:spacing w:after="0" w:line="240" w:lineRule="auto"/>
            </w:pPr>
            <w:r>
              <w:rPr>
                <w:b w:val="0"/>
                <w:i w:val="0"/>
                <w:sz w:val="15"/>
              </w:rPr>
              <w:t>66% → 69% ns</w:t>
            </w:r>
          </w:p>
        </w:tc>
        <w:tc>
          <w:tcPr>
            <w:tcW w:type="dxa" w:w="1973"/>
          </w:tcPr>
          <w:p>
            <w:pPr>
              <w:spacing w:after="0" w:line="240" w:lineRule="auto"/>
            </w:pPr>
            <w:r>
              <w:rPr>
                <w:b w:val="0"/>
                <w:i w:val="0"/>
                <w:sz w:val="15"/>
              </w:rPr>
              <w:t>65% → 69% ns</w:t>
            </w:r>
          </w:p>
        </w:tc>
        <w:tc>
          <w:tcPr>
            <w:tcW w:type="dxa" w:w="1973"/>
          </w:tcPr>
          <w:p>
            <w:pPr>
              <w:spacing w:after="0" w:line="240" w:lineRule="auto"/>
            </w:pPr>
            <w:r>
              <w:rPr>
                <w:b w:val="0"/>
                <w:i w:val="0"/>
                <w:sz w:val="15"/>
              </w:rPr>
              <w:t>63% → 47% ns</w:t>
            </w:r>
          </w:p>
        </w:tc>
        <w:tc>
          <w:tcPr>
            <w:tcW w:type="dxa" w:w="1973"/>
          </w:tcPr>
          <w:p>
            <w:pPr>
              <w:spacing w:after="0" w:line="240" w:lineRule="auto"/>
            </w:pPr>
            <w:r>
              <w:rPr>
                <w:b w:val="0"/>
                <w:i w:val="0"/>
                <w:sz w:val="15"/>
              </w:rPr>
              <w:t>61% → 45% ↓**</w:t>
            </w:r>
          </w:p>
        </w:tc>
      </w:tr>
      <w:tr>
        <w:tc>
          <w:tcPr>
            <w:tcW w:type="dxa" w:w="1973"/>
          </w:tcPr>
          <w:p>
            <w:pPr>
              <w:spacing w:after="0" w:line="240" w:lineRule="auto"/>
            </w:pPr>
            <w:r>
              <w:rPr>
                <w:b w:val="0"/>
                <w:i w:val="0"/>
                <w:sz w:val="15"/>
              </w:rPr>
              <w:t>G:C transitions (% of all)</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19% → 11% ↓**</w:t>
            </w:r>
          </w:p>
        </w:tc>
        <w:tc>
          <w:tcPr>
            <w:tcW w:type="dxa" w:w="1973"/>
          </w:tcPr>
          <w:p>
            <w:pPr>
              <w:spacing w:after="0" w:line="240" w:lineRule="auto"/>
            </w:pPr>
            <w:r>
              <w:rPr>
                <w:b w:val="0"/>
                <w:i w:val="0"/>
                <w:sz w:val="15"/>
              </w:rPr>
              <w:t>22% → 24% ns</w:t>
            </w:r>
          </w:p>
        </w:tc>
        <w:tc>
          <w:tcPr>
            <w:tcW w:type="dxa" w:w="1973"/>
          </w:tcPr>
          <w:p>
            <w:pPr>
              <w:spacing w:after="0" w:line="240" w:lineRule="auto"/>
            </w:pPr>
            <w:r>
              <w:rPr>
                <w:b w:val="0"/>
                <w:i w:val="0"/>
                <w:sz w:val="15"/>
              </w:rPr>
              <w:t>24% → 28% ns</w:t>
            </w:r>
          </w:p>
        </w:tc>
      </w:tr>
      <w:tr>
        <w:tc>
          <w:tcPr>
            <w:tcW w:type="dxa" w:w="1973"/>
          </w:tcPr>
          <w:p>
            <w:pPr>
              <w:spacing w:after="0" w:line="240" w:lineRule="auto"/>
            </w:pPr>
            <w:r>
              <w:rPr>
                <w:b w:val="0"/>
                <w:i w:val="0"/>
                <w:sz w:val="15"/>
              </w:rPr>
              <w:t>G:C transversions (% of all)</w:t>
            </w:r>
          </w:p>
        </w:tc>
        <w:tc>
          <w:tcPr>
            <w:tcW w:type="dxa" w:w="1973"/>
          </w:tcPr>
          <w:p>
            <w:pPr>
              <w:spacing w:after="0" w:line="240" w:lineRule="auto"/>
            </w:pPr>
            <w:r>
              <w:rPr>
                <w:b w:val="0"/>
                <w:i w:val="0"/>
                <w:sz w:val="15"/>
              </w:rPr>
              <w:t>15% → 21% ↑*</w:t>
            </w:r>
          </w:p>
        </w:tc>
        <w:tc>
          <w:tcPr>
            <w:tcW w:type="dxa" w:w="1973"/>
          </w:tcPr>
          <w:p>
            <w:pPr>
              <w:spacing w:after="0" w:line="240" w:lineRule="auto"/>
            </w:pPr>
            <w:r>
              <w:rPr>
                <w:b w:val="0"/>
                <w:i w:val="0"/>
                <w:sz w:val="15"/>
              </w:rPr>
              <w:t>14% → 20% ↑*</w:t>
            </w:r>
          </w:p>
        </w:tc>
        <w:tc>
          <w:tcPr>
            <w:tcW w:type="dxa" w:w="1973"/>
          </w:tcPr>
          <w:p>
            <w:pPr>
              <w:spacing w:after="0" w:line="240" w:lineRule="auto"/>
            </w:pPr>
            <w:r>
              <w:rPr>
                <w:b w:val="0"/>
                <w:i w:val="0"/>
                <w:sz w:val="15"/>
              </w:rPr>
              <w:t>15% → 29% ↑**</w:t>
            </w:r>
          </w:p>
        </w:tc>
        <w:tc>
          <w:tcPr>
            <w:tcW w:type="dxa" w:w="1973"/>
          </w:tcPr>
          <w:p>
            <w:pPr>
              <w:spacing w:after="0" w:line="240" w:lineRule="auto"/>
            </w:pPr>
            <w:r>
              <w:rPr>
                <w:b w:val="0"/>
                <w:i w:val="0"/>
                <w:sz w:val="15"/>
              </w:rPr>
              <w:t>16% → 27% ↑**</w:t>
            </w:r>
          </w:p>
        </w:tc>
      </w:tr>
      <w:tr>
        <w:tc>
          <w:tcPr>
            <w:tcW w:type="dxa" w:w="1973"/>
          </w:tcPr>
          <w:p>
            <w:pPr>
              <w:spacing w:after="0" w:line="240" w:lineRule="auto"/>
            </w:pPr>
            <w:r>
              <w:rPr>
                <w:b w:val="0"/>
                <w:i w:val="0"/>
                <w:sz w:val="15"/>
              </w:rPr>
              <w:t>G:C mutations at WRC/GYW (%)</w:t>
            </w:r>
          </w:p>
        </w:tc>
        <w:tc>
          <w:tcPr>
            <w:tcW w:type="dxa" w:w="1973"/>
          </w:tcPr>
          <w:p>
            <w:pPr>
              <w:spacing w:after="0" w:line="240" w:lineRule="auto"/>
            </w:pPr>
            <w:r>
              <w:rPr>
                <w:b w:val="0"/>
                <w:i w:val="0"/>
                <w:sz w:val="15"/>
              </w:rPr>
              <w:t>59% → 64%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59% → 66%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A:T mutations at WA/TW (%)</w:t>
            </w:r>
          </w:p>
        </w:tc>
        <w:tc>
          <w:tcPr>
            <w:tcW w:type="dxa" w:w="1973"/>
          </w:tcPr>
          <w:p>
            <w:pPr>
              <w:spacing w:after="0" w:line="240" w:lineRule="auto"/>
            </w:pPr>
            <w:r>
              <w:rPr>
                <w:b w:val="0"/>
                <w:i w:val="0"/>
                <w:sz w:val="15"/>
              </w:rPr>
              <w:t>69% → 80% ns</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71% → 75% ns</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Calls the background explains (%)</w:t>
            </w:r>
          </w:p>
        </w:tc>
        <w:tc>
          <w:tcPr>
            <w:tcW w:type="dxa" w:w="1973"/>
          </w:tcPr>
          <w:p>
            <w:pPr>
              <w:spacing w:after="0" w:line="240" w:lineRule="auto"/>
            </w:pPr>
            <w:r>
              <w:rPr>
                <w:b w:val="0"/>
                <w:i w:val="0"/>
                <w:sz w:val="15"/>
              </w:rPr>
              <w:t>2% → 7%</w:t>
            </w:r>
          </w:p>
        </w:tc>
        <w:tc>
          <w:tcPr>
            <w:tcW w:type="dxa" w:w="1973"/>
          </w:tcPr>
          <w:p>
            <w:pPr>
              <w:spacing w:after="0" w:line="240" w:lineRule="auto"/>
            </w:pPr>
            <w:r>
              <w:rPr>
                <w:b w:val="0"/>
                <w:i w:val="0"/>
                <w:sz w:val="15"/>
              </w:rPr>
              <w:t>N.R.</w:t>
            </w:r>
          </w:p>
        </w:tc>
        <w:tc>
          <w:tcPr>
            <w:tcW w:type="dxa" w:w="1973"/>
          </w:tcPr>
          <w:p>
            <w:pPr>
              <w:spacing w:after="0" w:line="240" w:lineRule="auto"/>
            </w:pPr>
            <w:r>
              <w:rPr>
                <w:b w:val="0"/>
                <w:i w:val="0"/>
                <w:sz w:val="15"/>
              </w:rPr>
              <w:t>3% → 21%</w:t>
            </w:r>
          </w:p>
        </w:tc>
        <w:tc>
          <w:tcPr>
            <w:tcW w:type="dxa" w:w="1973"/>
          </w:tcPr>
          <w:p>
            <w:pPr>
              <w:spacing w:after="0" w:line="240" w:lineRule="auto"/>
            </w:pPr>
            <w:r>
              <w:rPr>
                <w:b w:val="0"/>
                <w:i w:val="0"/>
                <w:sz w:val="15"/>
              </w:rPr>
              <w:t>N.R.</w:t>
            </w:r>
          </w:p>
        </w:tc>
      </w:tr>
      <w:tr>
        <w:tc>
          <w:tcPr>
            <w:tcW w:type="dxa" w:w="1973"/>
          </w:tcPr>
          <w:p>
            <w:pPr>
              <w:spacing w:after="0" w:line="240" w:lineRule="auto"/>
            </w:pPr>
            <w:r>
              <w:rPr>
                <w:b w:val="0"/>
                <w:i w:val="0"/>
                <w:sz w:val="15"/>
              </w:rPr>
              <w:t>Mice (Wt / knockout)</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4 / 4</w:t>
            </w:r>
          </w:p>
        </w:tc>
        <w:tc>
          <w:tcPr>
            <w:tcW w:type="dxa" w:w="1973"/>
          </w:tcPr>
          <w:p>
            <w:pPr>
              <w:spacing w:after="0" w:line="240" w:lineRule="auto"/>
            </w:pPr>
            <w:r>
              <w:rPr>
                <w:b w:val="0"/>
                <w:i w:val="0"/>
                <w:sz w:val="15"/>
              </w:rPr>
              <w:t>3 / 3</w:t>
            </w:r>
          </w:p>
        </w:tc>
        <w:tc>
          <w:tcPr>
            <w:tcW w:type="dxa" w:w="1973"/>
          </w:tcPr>
          <w:p>
            <w:pPr>
              <w:spacing w:after="0" w:line="240" w:lineRule="auto"/>
            </w:pPr>
            <w:r>
              <w:rPr>
                <w:b w:val="0"/>
                <w:i w:val="0"/>
                <w:sz w:val="15"/>
              </w:rPr>
              <w:t>3 / 3</w:t>
            </w:r>
          </w:p>
        </w:tc>
      </w:tr>
      <w:tr>
        <w:tc>
          <w:tcPr>
            <w:tcW w:type="dxa" w:w="1973"/>
          </w:tcPr>
          <w:p>
            <w:pPr>
              <w:spacing w:after="0" w:line="240" w:lineRule="auto"/>
            </w:pPr>
            <w:r>
              <w:rPr>
                <w:b w:val="0"/>
                <w:i w:val="0"/>
                <w:sz w:val="15"/>
              </w:rPr>
              <w:t>Clones (Wt / knockout)</w:t>
            </w:r>
          </w:p>
        </w:tc>
        <w:tc>
          <w:tcPr>
            <w:tcW w:type="dxa" w:w="1973"/>
          </w:tcPr>
          <w:p>
            <w:pPr>
              <w:spacing w:after="0" w:line="240" w:lineRule="auto"/>
            </w:pPr>
            <w:r>
              <w:rPr>
                <w:b w:val="0"/>
                <w:i w:val="0"/>
                <w:sz w:val="15"/>
              </w:rPr>
              <w:t>92 / 179</w:t>
            </w:r>
          </w:p>
        </w:tc>
        <w:tc>
          <w:tcPr>
            <w:tcW w:type="dxa" w:w="1973"/>
          </w:tcPr>
          <w:p>
            <w:pPr>
              <w:spacing w:after="0" w:line="240" w:lineRule="auto"/>
            </w:pPr>
            <w:r>
              <w:rPr>
                <w:b w:val="0"/>
                <w:i w:val="0"/>
                <w:sz w:val="15"/>
              </w:rPr>
              <w:t>97 / 187</w:t>
            </w:r>
          </w:p>
        </w:tc>
        <w:tc>
          <w:tcPr>
            <w:tcW w:type="dxa" w:w="1973"/>
          </w:tcPr>
          <w:p>
            <w:pPr>
              <w:spacing w:after="0" w:line="240" w:lineRule="auto"/>
            </w:pPr>
            <w:r>
              <w:rPr>
                <w:b w:val="0"/>
                <w:i w:val="0"/>
                <w:sz w:val="15"/>
              </w:rPr>
              <w:t>88 / 193</w:t>
            </w:r>
          </w:p>
        </w:tc>
        <w:tc>
          <w:tcPr>
            <w:tcW w:type="dxa" w:w="1973"/>
          </w:tcPr>
          <w:p>
            <w:pPr>
              <w:spacing w:after="0" w:line="240" w:lineRule="auto"/>
            </w:pPr>
            <w:r>
              <w:rPr>
                <w:b w:val="0"/>
                <w:i w:val="0"/>
                <w:sz w:val="15"/>
              </w:rPr>
              <w:t>110 / 227</w:t>
            </w:r>
          </w:p>
        </w:tc>
      </w:tr>
    </w:tbl>
    <w:p>
      <w:pPr>
        <w:keepLines/>
        <w:spacing w:after="80" w:line="240" w:lineRule="auto"/>
      </w:pPr>
      <w:r>
        <w:rPr>
          <w:b w:val="0"/>
          <w:i w:val="0"/>
          <w:sz w:val="17"/>
        </w:rPr>
        <w:t>Cells report Wt → knockout values; arrows indicate the direction of significant changes. Stars denote two-sided tests across mice: Welch tests on log</w:t>
      </w:r>
      <w:r>
        <w:rPr>
          <w:i w:val="0"/>
          <w:sz w:val="17"/>
          <w:vertAlign w:val="subscript"/>
        </w:rPr>
        <w:t>10</w:t>
      </w:r>
      <w:r>
        <w:rPr>
          <w:b w:val="0"/>
          <w:i w:val="0"/>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b w:val="0"/>
          <w:i w:val="0"/>
          <w:sz w:val="17"/>
        </w:rPr>
        <w:t xml:space="preserve">. “Counted as published” applies those denominators to SHMtrace mutation counts; the paired rows therefore differ only in denominator. The evidence-based </w:t>
      </w:r>
      <w:r>
        <w:rPr>
          <w:i/>
          <w:sz w:val="17"/>
        </w:rPr>
        <w:t>Mkln1</w:t>
      </w:r>
      <w:r>
        <w:rPr>
          <w:b w:val="0"/>
          <w:i w:val="0"/>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b w:val="0"/>
          <w:i w:val="0"/>
          <w:sz w:val="17"/>
        </w:rPr>
        <w:t xml:space="preserve"> values were computed from the printed per-mouse tables. Maea, </w:t>
      </w:r>
      <w:r>
        <w:rPr>
          <w:i/>
          <w:sz w:val="17"/>
        </w:rPr>
        <w:t>Maea</w:t>
      </w:r>
      <w:r>
        <w:rPr>
          <w:i w:val="0"/>
          <w:sz w:val="17"/>
          <w:vertAlign w:val="superscript"/>
        </w:rPr>
        <w:t>fl/fl</w:t>
      </w:r>
      <w:r>
        <w:rPr>
          <w:i/>
          <w:sz w:val="17"/>
        </w:rPr>
        <w:t>Mb1</w:t>
      </w:r>
      <w:r>
        <w:rPr>
          <w:i w:val="0"/>
          <w:sz w:val="17"/>
          <w:vertAlign w:val="superscript"/>
        </w:rPr>
        <w:t>cre</w:t>
      </w:r>
      <w:r>
        <w:rPr>
          <w:b w:val="0"/>
          <w:i w:val="0"/>
          <w:sz w:val="17"/>
        </w:rPr>
        <w:t xml:space="preserve"> (Barbulescu et al., 2024); </w:t>
      </w:r>
      <w:r>
        <w:rPr>
          <w:i/>
          <w:sz w:val="17"/>
        </w:rPr>
        <w:t>Mkln1</w:t>
      </w:r>
      <w:r>
        <w:rPr>
          <w:b w:val="0"/>
          <w:i w:val="0"/>
          <w:sz w:val="17"/>
        </w:rPr>
        <w:t xml:space="preserve">, </w:t>
      </w:r>
      <w:r>
        <w:rPr>
          <w:i/>
          <w:sz w:val="17"/>
        </w:rPr>
        <w:t>Mkln1</w:t>
      </w:r>
      <w:r>
        <w:rPr>
          <w:i w:val="0"/>
          <w:sz w:val="17"/>
          <w:vertAlign w:val="superscript"/>
        </w:rPr>
        <w:t>−/−</w:t>
      </w:r>
      <w:r>
        <w:rPr>
          <w:b w:val="0"/>
          <w:i w:val="0"/>
          <w:sz w:val="17"/>
        </w:rPr>
        <w:t xml:space="preserve"> (Barbulescu et al., 2025). N.R., not reported.</w:t>
      </w:r>
    </w:p>
    <w:p>
      <w:pPr>
        <w:pageBreakBefore/>
      </w:pPr>
      <w:bookmarkStart w:id="36" w:name="tab_S5"/>
      <w:bookmarkEnd w:id="36"/>
      <w:r>
        <w:rPr>
          <w:b/>
          <w:i w:val="0"/>
          <w:sz w:val="20"/>
        </w:rPr>
        <w:t>Table S5. What "reproduced" means for each re-analyzed study, related to Figures S14–S16</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1084"/>
          </w:tcPr>
          <w:p>
            <w:pPr>
              <w:spacing w:after="0"/>
            </w:pPr>
            <w:r>
              <w:rPr>
                <w:b/>
                <w:i w:val="0"/>
                <w:sz w:val="13"/>
              </w:rPr>
              <w:t>Study (figure)</w:t>
            </w:r>
          </w:p>
        </w:tc>
        <w:tc>
          <w:tcPr>
            <w:tcW w:type="dxa" w:w="1626"/>
          </w:tcPr>
          <w:p>
            <w:pPr>
              <w:spacing w:after="0"/>
            </w:pPr>
            <w:r>
              <w:rPr>
                <w:b/>
                <w:i w:val="0"/>
                <w:sz w:val="13"/>
              </w:rPr>
              <w:t>Same clones?</w:t>
            </w:r>
          </w:p>
        </w:tc>
        <w:tc>
          <w:tcPr>
            <w:tcW w:type="dxa" w:w="1192"/>
          </w:tcPr>
          <w:p>
            <w:pPr>
              <w:spacing w:after="0"/>
            </w:pPr>
            <w:r>
              <w:rPr>
                <w:b/>
                <w:i w:val="0"/>
                <w:sz w:val="13"/>
              </w:rPr>
              <w:t>Same endpoint?</w:t>
            </w:r>
          </w:p>
        </w:tc>
        <w:tc>
          <w:tcPr>
            <w:tcW w:type="dxa" w:w="1626"/>
          </w:tcPr>
          <w:p>
            <w:pPr>
              <w:spacing w:after="0"/>
            </w:pPr>
            <w:r>
              <w:rPr>
                <w:b/>
                <w:i w:val="0"/>
                <w:sz w:val="13"/>
              </w:rPr>
              <w:t>Same denominator?</w:t>
            </w:r>
          </w:p>
        </w:tc>
        <w:tc>
          <w:tcPr>
            <w:tcW w:type="dxa" w:w="1518"/>
          </w:tcPr>
          <w:p>
            <w:pPr>
              <w:spacing w:after="0"/>
            </w:pPr>
            <w:r>
              <w:rPr>
                <w:b/>
                <w:i w:val="0"/>
                <w:sz w:val="13"/>
              </w:rPr>
              <w:t>Same test?</w:t>
            </w:r>
          </w:p>
        </w:tc>
        <w:tc>
          <w:tcPr>
            <w:tcW w:type="dxa" w:w="1192"/>
          </w:tcPr>
          <w:p>
            <w:pPr>
              <w:spacing w:after="0"/>
            </w:pPr>
            <w:r>
              <w:rPr>
                <w:b/>
                <w:i w:val="0"/>
                <w:sz w:val="13"/>
              </w:rPr>
              <w:t>Published values are</w:t>
            </w:r>
          </w:p>
        </w:tc>
        <w:tc>
          <w:tcPr>
            <w:tcW w:type="dxa" w:w="1626"/>
          </w:tcPr>
          <w:p>
            <w:pPr>
              <w:spacing w:after="0"/>
            </w:pPr>
            <w:r>
              <w:rPr>
                <w:b/>
                <w:i w:val="0"/>
                <w:sz w:val="13"/>
              </w:rPr>
              <w:t>Agreement</w:t>
            </w:r>
          </w:p>
        </w:tc>
      </w:tr>
      <w:tr>
        <w:tc>
          <w:tcPr>
            <w:tcW w:type="dxa" w:w="1084"/>
          </w:tcPr>
          <w:p>
            <w:pPr>
              <w:spacing w:after="0" w:line="240" w:lineRule="auto"/>
            </w:pPr>
            <w:r>
              <w:rPr>
                <w:i/>
                <w:sz w:val="13"/>
              </w:rPr>
              <w:t>Maea</w:t>
            </w:r>
            <w:r>
              <w:rPr>
                <w:i w:val="0"/>
                <w:sz w:val="13"/>
                <w:vertAlign w:val="superscript"/>
              </w:rPr>
              <w:t>fl/fl</w:t>
            </w:r>
            <w:r>
              <w:rPr>
                <w:i/>
                <w:sz w:val="13"/>
              </w:rPr>
              <w:t>Mb1</w:t>
            </w:r>
            <w:r>
              <w:rPr>
                <w:i w:val="0"/>
                <w:sz w:val="13"/>
                <w:vertAlign w:val="superscript"/>
              </w:rPr>
              <w:t>cre</w:t>
            </w:r>
            <w:r>
              <w:rPr>
                <w:b w:val="0"/>
                <w:i w:val="0"/>
                <w:sz w:val="13"/>
              </w:rPr>
              <w:t>, Barbulescu et al. 2024 (</w:t>
            </w:r>
            <w:hyperlink w:anchor="fig_S14" w:history="1">
              <w:r>
                <w:rPr>
                  <w:b w:val="0"/>
                  <w:i w:val="0"/>
                  <w:color w:val="1F5FA8"/>
                  <w:sz w:val="13"/>
                </w:rPr>
                <w:t>Figure S14</w:t>
              </w:r>
            </w:hyperlink>
            <w:r>
              <w:rPr>
                <w:b w:val="0"/>
                <w:i w:val="0"/>
                <w:sz w:val="13"/>
              </w:rPr>
              <w:t>)</w:t>
            </w:r>
          </w:p>
        </w:tc>
        <w:tc>
          <w:tcPr>
            <w:tcW w:type="dxa" w:w="1626"/>
          </w:tcPr>
          <w:p>
            <w:pPr>
              <w:spacing w:after="0" w:line="240" w:lineRule="auto"/>
            </w:pPr>
            <w:r>
              <w:rPr>
                <w:b w:val="0"/>
                <w:i w:val="0"/>
                <w:sz w:val="13"/>
              </w:rPr>
              <w:t>Yes, the deposited chromatograms, each clone kept with the mouse it was filed under. SHMtrace sets paralog amplicons aside, so it analyzes 92/179 of the 97/187 clones the per-mouse tables count</w:t>
            </w:r>
          </w:p>
        </w:tc>
        <w:tc>
          <w:tcPr>
            <w:tcW w:type="dxa" w:w="1192"/>
          </w:tcPr>
          <w:p>
            <w:pPr>
              <w:spacing w:after="0" w:line="240" w:lineRule="auto"/>
            </w:pPr>
            <w:r>
              <w:rPr>
                <w:b w:val="0"/>
                <w:i w:val="0"/>
                <w:sz w:val="13"/>
              </w:rPr>
              <w:t>Yes for frequency and the G:C shares; the WRC/GYW and background columns are SHMtrace's only</w:t>
            </w:r>
          </w:p>
        </w:tc>
        <w:tc>
          <w:tcPr>
            <w:tcW w:type="dxa" w:w="1626"/>
          </w:tcPr>
          <w:p>
            <w:pPr>
              <w:spacing w:after="0" w:line="240" w:lineRule="auto"/>
            </w:pPr>
            <w:r>
              <w:rPr>
                <w:b w:val="0"/>
                <w:i w:val="0"/>
                <w:sz w:val="13"/>
              </w:rPr>
              <w:t xml:space="preserve">No. The paper divides by every filed clone × 577 bp; SHMtrace by the clones it analyzes × the 529-bp window they read cleanly. </w:t>
            </w:r>
            <w:hyperlink w:anchor="tab_S4" w:history="1">
              <w:r>
                <w:rPr>
                  <w:b w:val="0"/>
                  <w:i w:val="0"/>
                  <w:color w:val="1F5FA8"/>
                  <w:sz w:val="13"/>
                </w:rPr>
                <w:t>Table S4</w:t>
              </w:r>
            </w:hyperlink>
            <w:r>
              <w:rPr>
                <w:b w:val="0"/>
                <w:i w:val="0"/>
                <w:sz w:val="13"/>
              </w:rPr>
              <w:t>'s "counted as published" row applies the paper's denominator to SHMtrace's mutations</w:t>
            </w:r>
          </w:p>
        </w:tc>
        <w:tc>
          <w:tcPr>
            <w:tcW w:type="dxa" w:w="1518"/>
          </w:tcPr>
          <w:p>
            <w:pPr>
              <w:spacing w:after="0" w:line="240" w:lineRule="auto"/>
            </w:pPr>
            <w:r>
              <w:rPr>
                <w:b w:val="0"/>
                <w:i w:val="0"/>
                <w:sz w:val="13"/>
              </w:rPr>
              <w:t xml:space="preserve">In the figure, yes: </w:t>
            </w:r>
            <w:hyperlink w:anchor="fig_S14" w:history="1">
              <w:r>
                <w:rPr>
                  <w:b w:val="0"/>
                  <w:i w:val="0"/>
                  <w:color w:val="1F5FA8"/>
                  <w:sz w:val="13"/>
                </w:rPr>
                <w:t>Figure S14F</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 so its stars are the stricter of the two</w:t>
            </w:r>
          </w:p>
        </w:tc>
        <w:tc>
          <w:tcPr>
            <w:tcW w:type="dxa" w:w="1192"/>
          </w:tcPr>
          <w:p>
            <w:pPr>
              <w:spacing w:after="0" w:line="240" w:lineRule="auto"/>
            </w:pPr>
            <w:r>
              <w:rPr>
                <w:b w:val="0"/>
                <w:i w:val="0"/>
                <w:sz w:val="13"/>
              </w:rPr>
              <w:t>Source Data for frequency and the G:C shares (Fig. 2g–i); per-mouse tables (Supplementary Fig. 9b) for the rest</w:t>
            </w:r>
          </w:p>
        </w:tc>
        <w:tc>
          <w:tcPr>
            <w:tcW w:type="dxa" w:w="1626"/>
          </w:tcPr>
          <w:p>
            <w:pPr>
              <w:spacing w:after="0" w:line="240" w:lineRule="auto"/>
            </w:pPr>
            <w:r>
              <w:rPr>
                <w:b w:val="0"/>
                <w:i w:val="0"/>
                <w:sz w:val="13"/>
              </w:rPr>
              <w:t>Same direction and significance for frequency and both G:C classes. The Fig. 2g Source Data count 96/183 clones and the per-mouse tables 97/187, a discrepancy in the published record, not in the re-analysis</w:t>
            </w:r>
          </w:p>
        </w:tc>
      </w:tr>
      <w:tr>
        <w:tc>
          <w:tcPr>
            <w:tcW w:type="dxa" w:w="1084"/>
          </w:tcPr>
          <w:p>
            <w:pPr>
              <w:spacing w:after="0" w:line="240" w:lineRule="auto"/>
            </w:pPr>
            <w:r>
              <w:rPr>
                <w:i/>
                <w:sz w:val="13"/>
              </w:rPr>
              <w:t>Mkln1</w:t>
            </w:r>
            <w:r>
              <w:rPr>
                <w:i w:val="0"/>
                <w:sz w:val="13"/>
                <w:vertAlign w:val="superscript"/>
              </w:rPr>
              <w:t>−/−</w:t>
            </w:r>
            <w:r>
              <w:rPr>
                <w:b w:val="0"/>
                <w:i w:val="0"/>
                <w:sz w:val="13"/>
              </w:rPr>
              <w:t>, Barbulescu et al. 2025 (</w:t>
            </w:r>
            <w:hyperlink w:anchor="fig_S15" w:history="1">
              <w:r>
                <w:rPr>
                  <w:b w:val="0"/>
                  <w:i w:val="0"/>
                  <w:color w:val="1F5FA8"/>
                  <w:sz w:val="13"/>
                </w:rPr>
                <w:t>Figure S15</w:t>
              </w:r>
            </w:hyperlink>
            <w:r>
              <w:rPr>
                <w:b w:val="0"/>
                <w:i w:val="0"/>
                <w:sz w:val="13"/>
              </w:rPr>
              <w:t>)</w:t>
            </w:r>
          </w:p>
        </w:tc>
        <w:tc>
          <w:tcPr>
            <w:tcW w:type="dxa" w:w="1626"/>
          </w:tcPr>
          <w:p>
            <w:pPr>
              <w:spacing w:after="0" w:line="240" w:lineRule="auto"/>
            </w:pPr>
            <w:r>
              <w:rPr>
                <w:b w:val="0"/>
                <w:i w:val="0"/>
                <w:sz w:val="13"/>
              </w:rPr>
              <w:t>Partly. Clones are kept with the mouse folder they were filed under, but of the three published knockout tables only mouse #1's spectrum matches a folder; #2 and #3 match no folder or set of clones in the project</w:t>
            </w:r>
          </w:p>
        </w:tc>
        <w:tc>
          <w:tcPr>
            <w:tcW w:type="dxa" w:w="1192"/>
          </w:tcPr>
          <w:p>
            <w:pPr>
              <w:spacing w:after="0" w:line="240" w:lineRule="auto"/>
            </w:pPr>
            <w:r>
              <w:rPr>
                <w:b w:val="0"/>
                <w:i w:val="0"/>
                <w:sz w:val="13"/>
              </w:rPr>
              <w:t>Yes for frequency and the G:C shares; WRC/GYW and background are SHMtrace's only</w:t>
            </w:r>
          </w:p>
        </w:tc>
        <w:tc>
          <w:tcPr>
            <w:tcW w:type="dxa" w:w="1626"/>
          </w:tcPr>
          <w:p>
            <w:pPr>
              <w:spacing w:after="0" w:line="240" w:lineRule="auto"/>
            </w:pPr>
            <w:r>
              <w:rPr>
                <w:b w:val="0"/>
                <w:i w:val="0"/>
                <w:sz w:val="13"/>
              </w:rPr>
              <w:t>No. The paper uses every filed clone × 556 bp; SHMtrace the clones it analyzes × 529 bp. An evidence-based clone set (</w:t>
            </w:r>
            <w:hyperlink w:anchor="tab_S4" w:history="1">
              <w:r>
                <w:rPr>
                  <w:b w:val="0"/>
                  <w:i w:val="0"/>
                  <w:color w:val="1F5FA8"/>
                  <w:sz w:val="13"/>
                </w:rPr>
                <w:t>Table S4</w:t>
              </w:r>
            </w:hyperlink>
            <w:r>
              <w:rPr>
                <w:b w:val="0"/>
                <w:i w:val="0"/>
                <w:sz w:val="13"/>
              </w:rPr>
              <w:t>) is reported as a sensitivity analysis</w:t>
            </w:r>
          </w:p>
        </w:tc>
        <w:tc>
          <w:tcPr>
            <w:tcW w:type="dxa" w:w="1518"/>
          </w:tcPr>
          <w:p>
            <w:pPr>
              <w:spacing w:after="0" w:line="240" w:lineRule="auto"/>
            </w:pPr>
            <w:r>
              <w:rPr>
                <w:b w:val="0"/>
                <w:i w:val="0"/>
                <w:sz w:val="13"/>
              </w:rPr>
              <w:t xml:space="preserve">In the figure, yes: </w:t>
            </w:r>
            <w:hyperlink w:anchor="fig_S15" w:history="1">
              <w:r>
                <w:rPr>
                  <w:b w:val="0"/>
                  <w:i w:val="0"/>
                  <w:color w:val="1F5FA8"/>
                  <w:sz w:val="13"/>
                </w:rPr>
                <w:t>Figure S15D</w:t>
              </w:r>
            </w:hyperlink>
            <w:r>
              <w:rPr>
                <w:b w:val="0"/>
                <w:i w:val="0"/>
                <w:sz w:val="13"/>
              </w:rPr>
              <w:t xml:space="preserve"> uses the one-tailed t the original study used. </w:t>
            </w:r>
            <w:hyperlink w:anchor="tab_S4" w:history="1">
              <w:r>
                <w:rPr>
                  <w:b w:val="0"/>
                  <w:i w:val="0"/>
                  <w:color w:val="1F5FA8"/>
                  <w:sz w:val="13"/>
                </w:rPr>
                <w:t>Table S4</w:t>
              </w:r>
            </w:hyperlink>
            <w:r>
              <w:rPr>
                <w:b w:val="0"/>
                <w:i w:val="0"/>
                <w:sz w:val="13"/>
              </w:rPr>
              <w:t xml:space="preserve"> reports two-tailed tests throughout</w:t>
            </w:r>
          </w:p>
        </w:tc>
        <w:tc>
          <w:tcPr>
            <w:tcW w:type="dxa" w:w="1192"/>
          </w:tcPr>
          <w:p>
            <w:pPr>
              <w:spacing w:after="0" w:line="240" w:lineRule="auto"/>
            </w:pPr>
            <w:r>
              <w:rPr>
                <w:b w:val="0"/>
                <w:i w:val="0"/>
                <w:sz w:val="13"/>
              </w:rPr>
              <w:t xml:space="preserve">Computed from the per-mouse tables as printed (Supplementary </w:t>
            </w:r>
            <w:hyperlink w:anchor="fig_S2" w:history="1">
              <w:r>
                <w:rPr>
                  <w:b w:val="0"/>
                  <w:i w:val="0"/>
                  <w:color w:val="1F5FA8"/>
                  <w:sz w:val="13"/>
                </w:rPr>
                <w:t>Figure S2A</w:t>
              </w:r>
            </w:hyperlink>
            <w:r>
              <w:rPr>
                <w:b w:val="0"/>
                <w:i w:val="0"/>
                <w:sz w:val="13"/>
              </w:rPr>
              <w:t xml:space="preserve">). The paper's summary bars (Supplementary </w:t>
            </w:r>
            <w:hyperlink w:anchor="fig_S2" w:history="1">
              <w:r>
                <w:rPr>
                  <w:b w:val="0"/>
                  <w:i w:val="0"/>
                  <w:color w:val="1F5FA8"/>
                  <w:sz w:val="13"/>
                </w:rPr>
                <w:t>Figure S2C</w:t>
              </w:r>
            </w:hyperlink>
            <w:r>
              <w:rPr>
                <w:b w:val="0"/>
                <w:i w:val="0"/>
                <w:sz w:val="13"/>
              </w:rPr>
              <w:t>) give different values and are listed separately</w:t>
            </w:r>
          </w:p>
        </w:tc>
        <w:tc>
          <w:tcPr>
            <w:tcW w:type="dxa" w:w="1626"/>
          </w:tcPr>
          <w:p>
            <w:pPr>
              <w:spacing w:after="0" w:line="240" w:lineRule="auto"/>
            </w:pPr>
            <w:r>
              <w:rPr>
                <w:b w:val="0"/>
                <w:i w:val="0"/>
                <w:sz w:val="13"/>
              </w:rPr>
              <w:t>Same direction and significance for frequency and G:C transversions. The knockout spectrum agrees less well, which the untraceable tables #2 and #3 are enough to explain</w:t>
            </w:r>
          </w:p>
        </w:tc>
      </w:tr>
      <w:tr>
        <w:tc>
          <w:tcPr>
            <w:tcW w:type="dxa" w:w="1084"/>
          </w:tcPr>
          <w:p>
            <w:pPr>
              <w:spacing w:after="0" w:line="240" w:lineRule="auto"/>
            </w:pPr>
            <w:r>
              <w:rPr>
                <w:b w:val="0"/>
                <w:i w:val="0"/>
                <w:sz w:val="13"/>
              </w:rPr>
              <w:t>SW</w:t>
            </w:r>
            <w:r>
              <w:rPr>
                <w:i w:val="0"/>
                <w:sz w:val="13"/>
                <w:vertAlign w:val="subscript"/>
              </w:rPr>
              <w:t>HEL</w:t>
            </w:r>
            <w:r>
              <w:rPr>
                <w:b w:val="0"/>
                <w:i w:val="0"/>
                <w:sz w:val="13"/>
              </w:rPr>
              <w:t xml:space="preserve"> </w:t>
            </w:r>
            <w:r>
              <w:rPr>
                <w:i/>
                <w:sz w:val="13"/>
              </w:rPr>
              <w:t>Samhd1</w:t>
            </w:r>
            <w:r>
              <w:rPr>
                <w:b w:val="0"/>
                <w:i w:val="0"/>
                <w:sz w:val="13"/>
              </w:rPr>
              <w:t>, Thientosapol et al. 2018 (</w:t>
            </w:r>
            <w:hyperlink w:anchor="fig_S16" w:history="1">
              <w:r>
                <w:rPr>
                  <w:b w:val="0"/>
                  <w:i w:val="0"/>
                  <w:color w:val="1F5FA8"/>
                  <w:sz w:val="13"/>
                </w:rPr>
                <w:t>Figure S16</w:t>
              </w:r>
            </w:hyperlink>
            <w:r>
              <w:rPr>
                <w:b w:val="0"/>
                <w:i w:val="0"/>
                <w:sz w:val="13"/>
              </w:rPr>
              <w:t>)</w:t>
            </w:r>
          </w:p>
        </w:tc>
        <w:tc>
          <w:tcPr>
            <w:tcW w:type="dxa" w:w="1626"/>
          </w:tcPr>
          <w:p>
            <w:pPr>
              <w:spacing w:after="0" w:line="240" w:lineRule="auto"/>
            </w:pPr>
            <w:r>
              <w:rPr>
                <w:b w:val="0"/>
                <w:i w:val="0"/>
                <w:sz w:val="13"/>
              </w:rPr>
              <w:t>Yes in number, 1,795 deposited GenBank records, but not in provenance: the deposit names 12 wild-type hosts where the paper reports 13, and one record carries about twice every other host's clones</w:t>
            </w:r>
          </w:p>
        </w:tc>
        <w:tc>
          <w:tcPr>
            <w:tcW w:type="dxa" w:w="1192"/>
          </w:tcPr>
          <w:p>
            <w:pPr>
              <w:spacing w:after="0" w:line="240" w:lineRule="auto"/>
            </w:pPr>
            <w:r>
              <w:rPr>
                <w:b w:val="0"/>
                <w:i w:val="0"/>
                <w:sz w:val="13"/>
              </w:rPr>
              <w:t>Yes for the four substitution classes the paper tests; SHMtrace adds per-animal values the paper does not report</w:t>
            </w:r>
          </w:p>
        </w:tc>
        <w:tc>
          <w:tcPr>
            <w:tcW w:type="dxa" w:w="1626"/>
          </w:tcPr>
          <w:p>
            <w:pPr>
              <w:spacing w:after="0" w:line="240" w:lineRule="auto"/>
            </w:pPr>
            <w:r>
              <w:rPr>
                <w:b w:val="0"/>
                <w:i w:val="0"/>
                <w:sz w:val="13"/>
              </w:rPr>
              <w:t>No. The paper collates in a 560-bp window and counts every sequence independently; SHMtrace uses the consensus of the clones themselves and counts unique mutations per animal</w:t>
            </w:r>
          </w:p>
        </w:tc>
        <w:tc>
          <w:tcPr>
            <w:tcW w:type="dxa" w:w="1518"/>
          </w:tcPr>
          <w:p>
            <w:pPr>
              <w:spacing w:after="0" w:line="240" w:lineRule="auto"/>
            </w:pPr>
            <w:r>
              <w:rPr>
                <w:b w:val="0"/>
                <w:i w:val="0"/>
                <w:sz w:val="13"/>
              </w:rPr>
              <w:t>No for total mutation: the paper uses one-way ANOVA across its five arms, SHMtrace a Welch test on per-animal log frequency between two. The four class comparisons use a two-tailed t across animals</w:t>
            </w:r>
          </w:p>
        </w:tc>
        <w:tc>
          <w:tcPr>
            <w:tcW w:type="dxa" w:w="1192"/>
          </w:tcPr>
          <w:p>
            <w:pPr>
              <w:spacing w:after="0" w:line="240" w:lineRule="auto"/>
            </w:pPr>
            <w:r>
              <w:rPr>
                <w:b w:val="0"/>
                <w:i w:val="0"/>
                <w:sz w:val="13"/>
              </w:rPr>
              <w:t xml:space="preserve">The paper's </w:t>
            </w:r>
            <w:r>
              <w:rPr>
                <w:b w:val="0"/>
                <w:i w:val="0"/>
                <w:sz w:val="13"/>
              </w:rPr>
              <w:t>Table 1</w:t>
            </w:r>
            <w:r>
              <w:rPr>
                <w:b w:val="0"/>
                <w:i w:val="0"/>
                <w:sz w:val="13"/>
              </w:rPr>
              <w:t>, transcribed from the PMC copy</w:t>
            </w:r>
          </w:p>
        </w:tc>
        <w:tc>
          <w:tcPr>
            <w:tcW w:type="dxa" w:w="1626"/>
          </w:tcPr>
          <w:p>
            <w:pPr>
              <w:spacing w:after="0" w:line="240" w:lineRule="auto"/>
            </w:pPr>
            <w:r>
              <w:rPr>
                <w:b w:val="0"/>
                <w:i w:val="0"/>
                <w:sz w:val="13"/>
              </w:rPr>
              <w:t>All four substitution classes agree in direction and significance. Total mutation agrees in direction only, under two different tests, so it is not a like-for-like reproduction</w:t>
            </w:r>
          </w:p>
        </w:tc>
      </w:tr>
    </w:tbl>
    <w:p>
      <w:pPr>
        <w:keepLines/>
        <w:spacing w:after="80" w:line="240" w:lineRule="auto"/>
      </w:pPr>
      <w:r>
        <w:rPr>
          <w:b w:val="0"/>
          <w:i w:val="0"/>
          <w:sz w:val="17"/>
        </w:rPr>
        <w:t>No deposit supplies raw traces for the SW</w:t>
      </w:r>
      <w:r>
        <w:rPr>
          <w:i w:val="0"/>
          <w:sz w:val="17"/>
          <w:vertAlign w:val="subscript"/>
        </w:rPr>
        <w:t>HEL</w:t>
      </w:r>
      <w:r>
        <w:rPr>
          <w:b w:val="0"/>
          <w:i w:val="0"/>
          <w:sz w:val="17"/>
        </w:rPr>
        <w:t xml:space="preserve"> study, so its chromatogram reading and bookkeeping checks are not exercised; it also has no </w:t>
      </w:r>
      <w:r>
        <w:rPr>
          <w:i/>
          <w:sz w:val="17"/>
        </w:rPr>
        <w:t>Aicda</w:t>
      </w:r>
      <w:r>
        <w:rPr>
          <w:i w:val="0"/>
          <w:sz w:val="17"/>
          <w:vertAlign w:val="superscript"/>
        </w:rPr>
        <w:t>−/−</w:t>
      </w:r>
      <w:r>
        <w:rPr>
          <w:b w:val="0"/>
          <w:i w:val="0"/>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pPr>
        <w:pageBreakBefore/>
      </w:pPr>
      <w:bookmarkStart w:id="37" w:name="tab_S6"/>
      <w:bookmarkEnd w:id="37"/>
      <w:r>
        <w:rPr>
          <w:b/>
          <w:i w:val="0"/>
          <w:sz w:val="20"/>
        </w:rPr>
        <w:t>Table S6. Statistical summary, related to Figures 3–7</w:t>
      </w:r>
    </w:p>
    <w:tbl>
      <w:tblPr>
        <w:tblStyle w:val="TableGrid"/>
        <w:tblW w:type="auto" w:w="0"/>
        <w:jc w:val="center"/>
        <w:tblLayout w:type="fixed"/>
        <w:tblLook w:firstColumn="1" w:firstRow="1" w:lastColumn="0" w:lastRow="0" w:noHBand="0" w:noVBand="1" w:val="04A0"/>
      </w:tblPr>
      <w:tblGrid>
        <w:gridCol w:w="3288"/>
        <w:gridCol w:w="3288"/>
        <w:gridCol w:w="3288"/>
      </w:tblGrid>
      <w:tr>
        <w:trPr>
          <w:tblHeader w:val="true"/>
        </w:trPr>
        <w:tc>
          <w:tcPr>
            <w:tcW w:type="dxa" w:w="3288"/>
          </w:tcPr>
          <w:p>
            <w:pPr>
              <w:spacing w:after="0"/>
            </w:pPr>
            <w:r>
              <w:rPr>
                <w:b/>
                <w:i w:val="0"/>
                <w:sz w:val="17"/>
              </w:rPr>
              <w:t>Comparison</w:t>
            </w:r>
          </w:p>
        </w:tc>
        <w:tc>
          <w:tcPr>
            <w:tcW w:type="dxa" w:w="3288"/>
          </w:tcPr>
          <w:p>
            <w:pPr>
              <w:spacing w:after="0"/>
            </w:pPr>
            <w:r>
              <w:rPr>
                <w:b/>
                <w:i w:val="0"/>
                <w:sz w:val="17"/>
              </w:rPr>
              <w:t>Test</w:t>
            </w:r>
          </w:p>
        </w:tc>
        <w:tc>
          <w:tcPr>
            <w:tcW w:type="dxa" w:w="3288"/>
          </w:tcPr>
          <w:p>
            <w:pPr>
              <w:spacing w:after="0"/>
            </w:pPr>
            <w:r>
              <w:rPr>
                <w:b/>
                <w:i w:val="0"/>
                <w:sz w:val="17"/>
              </w:rPr>
              <w:t>Result</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(nanopore,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141-fold; p = 0.0027</w:t>
            </w:r>
          </w:p>
        </w:tc>
      </w:tr>
      <w:tr>
        <w:tc>
          <w:tcPr>
            <w:tcW w:type="dxa" w:w="3288"/>
          </w:tcPr>
          <w:p>
            <w:pPr>
              <w:spacing w:after="0" w:line="240" w:lineRule="auto"/>
            </w:pPr>
            <w:r>
              <w:rPr>
                <w:b w:val="0"/>
                <w:i w:val="0"/>
                <w:sz w:val="17"/>
              </w:rPr>
              <w:t>J</w:t>
            </w:r>
            <w:r>
              <w:rPr>
                <w:i w:val="0"/>
                <w:sz w:val="17"/>
                <w:vertAlign w:val="subscript"/>
              </w:rPr>
              <w:t>H</w:t>
            </w:r>
            <w:r>
              <w:rPr>
                <w:b w:val="0"/>
                <w:i w:val="0"/>
                <w:sz w:val="17"/>
              </w:rPr>
              <w:t xml:space="preserve">4, Wt vs </w:t>
            </w:r>
            <w:r>
              <w:rPr>
                <w:i/>
                <w:sz w:val="17"/>
              </w:rPr>
              <w:t>Aicda</w:t>
            </w:r>
            <w:r>
              <w:rPr>
                <w:i w:val="0"/>
                <w:sz w:val="17"/>
                <w:vertAlign w:val="superscript"/>
              </w:rPr>
              <w:t>−/−</w:t>
            </w:r>
            <w:r>
              <w:rPr>
                <w:b w:val="0"/>
                <w:i w:val="0"/>
                <w:sz w:val="17"/>
              </w:rPr>
              <w:t xml:space="preserve"> (Sanger, unique-variant density)</w:t>
            </w:r>
          </w:p>
        </w:tc>
        <w:tc>
          <w:tcPr>
            <w:tcW w:type="dxa" w:w="3288"/>
          </w:tcPr>
          <w:p>
            <w:pPr>
              <w:spacing w:after="0" w:line="240" w:lineRule="auto"/>
            </w:pPr>
            <w:r>
              <w:rPr>
                <w:b w:val="0"/>
                <w:i w:val="0"/>
                <w:sz w:val="17"/>
              </w:rPr>
              <w:t>Welch t on log</w:t>
            </w:r>
            <w:r>
              <w:rPr>
                <w:i w:val="0"/>
                <w:sz w:val="17"/>
                <w:vertAlign w:val="subscript"/>
              </w:rPr>
              <w:t>10</w:t>
            </w:r>
            <w:r>
              <w:rPr>
                <w:b w:val="0"/>
                <w:i w:val="0"/>
                <w:sz w:val="17"/>
              </w:rPr>
              <w:t>; n = 3 vs 3</w:t>
            </w:r>
          </w:p>
        </w:tc>
        <w:tc>
          <w:tcPr>
            <w:tcW w:type="dxa" w:w="3288"/>
          </w:tcPr>
          <w:p>
            <w:pPr>
              <w:spacing w:after="0" w:line="240" w:lineRule="auto"/>
            </w:pPr>
            <w:r>
              <w:rPr>
                <w:b w:val="0"/>
                <w:i w:val="0"/>
                <w:sz w:val="17"/>
              </w:rPr>
              <w:t>38-fold; p = 8.8 × 10</w:t>
            </w:r>
            <w:r>
              <w:rPr>
                <w:i w:val="0"/>
                <w:sz w:val="17"/>
                <w:vertAlign w:val="superscript"/>
              </w:rPr>
              <w:t>−4</w:t>
            </w:r>
          </w:p>
        </w:tc>
      </w:tr>
      <w:tr>
        <w:tc>
          <w:tcPr>
            <w:tcW w:type="dxa" w:w="3288"/>
          </w:tcPr>
          <w:p>
            <w:pPr>
              <w:spacing w:after="0" w:line="240" w:lineRule="auto"/>
            </w:pPr>
            <w:r>
              <w:rPr>
                <w:b w:val="0"/>
                <w:i w:val="0"/>
                <w:sz w:val="17"/>
              </w:rPr>
              <w:t>N114 V</w:t>
            </w:r>
            <w:r>
              <w:rPr>
                <w:i w:val="0"/>
                <w:sz w:val="17"/>
                <w:vertAlign w:val="subscript"/>
              </w:rPr>
              <w:t>H</w:t>
            </w:r>
            <w:r>
              <w:rPr>
                <w:b w:val="0"/>
                <w:i w:val="0"/>
                <w:sz w:val="17"/>
              </w:rPr>
              <w:t>, pMX-</w:t>
            </w:r>
            <w:r>
              <w:rPr>
                <w:i/>
                <w:sz w:val="17"/>
              </w:rPr>
              <w:t>Aicda</w:t>
            </w:r>
            <w:r>
              <w:rPr>
                <w:b w:val="0"/>
                <w:i w:val="0"/>
                <w:sz w:val="17"/>
              </w:rPr>
              <w:t xml:space="preserve"> vs empty vector</w:t>
            </w:r>
          </w:p>
        </w:tc>
        <w:tc>
          <w:tcPr>
            <w:tcW w:type="dxa" w:w="3288"/>
          </w:tcPr>
          <w:p>
            <w:pPr>
              <w:spacing w:after="0" w:line="240" w:lineRule="auto"/>
            </w:pPr>
            <w:r>
              <w:rPr>
                <w:b w:val="0"/>
                <w:i w:val="0"/>
                <w:sz w:val="17"/>
              </w:rPr>
              <w:t>geometric means; n = 3 vs 3</w:t>
            </w:r>
          </w:p>
        </w:tc>
        <w:tc>
          <w:tcPr>
            <w:tcW w:type="dxa" w:w="3288"/>
          </w:tcPr>
          <w:p>
            <w:pPr>
              <w:spacing w:after="0" w:line="240" w:lineRule="auto"/>
            </w:pPr>
            <w:r>
              <w:rPr>
                <w:b w:val="0"/>
                <w:i w:val="0"/>
                <w:sz w:val="17"/>
              </w:rPr>
              <w:t>85-fold</w:t>
            </w:r>
          </w:p>
        </w:tc>
      </w:tr>
      <w:tr>
        <w:tc>
          <w:tcPr>
            <w:tcW w:type="dxa" w:w="3288"/>
          </w:tcPr>
          <w:p>
            <w:pPr>
              <w:spacing w:after="0" w:line="240" w:lineRule="auto"/>
            </w:pPr>
            <w:r>
              <w:rPr>
                <w:b w:val="0"/>
                <w:i w:val="0"/>
                <w:sz w:val="17"/>
              </w:rPr>
              <w:t>J</w:t>
            </w:r>
            <w:r>
              <w:rPr>
                <w:i w:val="0"/>
                <w:sz w:val="17"/>
                <w:vertAlign w:val="subscript"/>
              </w:rPr>
              <w:t>H</w:t>
            </w:r>
            <w:r>
              <w:rPr>
                <w:b w:val="0"/>
                <w:i w:val="0"/>
                <w:sz w:val="17"/>
              </w:rPr>
              <w:t>4, full length (positions 90–1,230)</w:t>
            </w:r>
          </w:p>
        </w:tc>
        <w:tc>
          <w:tcPr>
            <w:tcW w:type="dxa" w:w="3288"/>
          </w:tcPr>
          <w:p>
            <w:pPr>
              <w:spacing w:after="0" w:line="240" w:lineRule="auto"/>
            </w:pPr>
            <w:r>
              <w:rPr>
                <w:b w:val="0"/>
                <w:i w:val="0"/>
                <w:sz w:val="17"/>
              </w:rPr>
              <w:t>geometric means</w:t>
            </w:r>
          </w:p>
        </w:tc>
        <w:tc>
          <w:tcPr>
            <w:tcW w:type="dxa" w:w="3288"/>
          </w:tcPr>
          <w:p>
            <w:pPr>
              <w:spacing w:after="0" w:line="240" w:lineRule="auto"/>
            </w:pPr>
            <w:r>
              <w:rPr>
                <w:b w:val="0"/>
                <w:i w:val="0"/>
                <w:sz w:val="17"/>
              </w:rPr>
              <w:t>40 vs 0.18 × 10</w:t>
            </w:r>
            <w:r>
              <w:rPr>
                <w:i w:val="0"/>
                <w:sz w:val="17"/>
                <w:vertAlign w:val="superscript"/>
              </w:rPr>
              <w:t>−5</w:t>
            </w:r>
            <w:r>
              <w:rPr>
                <w:b w:val="0"/>
                <w:i w:val="0"/>
                <w:sz w:val="17"/>
              </w:rPr>
              <w:t>; ~229-fold</w:t>
            </w:r>
          </w:p>
        </w:tc>
      </w:tr>
      <w:tr>
        <w:tc>
          <w:tcPr>
            <w:tcW w:type="dxa" w:w="3288"/>
          </w:tcPr>
          <w:p>
            <w:pPr>
              <w:spacing w:after="0" w:line="240" w:lineRule="auto"/>
            </w:pPr>
            <w:r>
              <w:rPr>
                <w:b w:val="0"/>
                <w:i w:val="0"/>
                <w:sz w:val="17"/>
              </w:rPr>
              <w:t>Spectrum, Sanger vs nanopore (12 types, 3 Wt mice)</w:t>
            </w:r>
          </w:p>
        </w:tc>
        <w:tc>
          <w:tcPr>
            <w:tcW w:type="dxa" w:w="3288"/>
          </w:tcPr>
          <w:p>
            <w:pPr>
              <w:spacing w:after="0" w:line="240" w:lineRule="auto"/>
            </w:pPr>
            <w:r>
              <w:rPr>
                <w:b w:val="0"/>
                <w:i w:val="0"/>
                <w:sz w:val="17"/>
              </w:rPr>
              <w:t>Pearson r (descriptive); slope</w:t>
            </w:r>
          </w:p>
        </w:tc>
        <w:tc>
          <w:tcPr>
            <w:tcW w:type="dxa" w:w="3288"/>
          </w:tcPr>
          <w:p>
            <w:pPr>
              <w:spacing w:after="0" w:line="240" w:lineRule="auto"/>
            </w:pPr>
            <w:r>
              <w:rPr>
                <w:b w:val="0"/>
                <w:i w:val="0"/>
                <w:sz w:val="17"/>
              </w:rPr>
              <w:t>r = 0.92; slope 0.97</w:t>
            </w:r>
          </w:p>
        </w:tc>
      </w:tr>
      <w:tr>
        <w:tc>
          <w:tcPr>
            <w:tcW w:type="dxa" w:w="3288"/>
          </w:tcPr>
          <w:p>
            <w:pPr>
              <w:spacing w:after="0" w:line="240" w:lineRule="auto"/>
            </w:pPr>
            <w:r>
              <w:rPr>
                <w:b w:val="0"/>
                <w:i w:val="0"/>
                <w:sz w:val="17"/>
              </w:rPr>
              <w:t>Spectrum, per type</w:t>
            </w:r>
          </w:p>
        </w:tc>
        <w:tc>
          <w:tcPr>
            <w:tcW w:type="dxa" w:w="3288"/>
          </w:tcPr>
          <w:p>
            <w:pPr>
              <w:spacing w:after="0" w:line="240" w:lineRule="auto"/>
            </w:pPr>
            <w:r>
              <w:rPr>
                <w:b w:val="0"/>
                <w:i w:val="0"/>
                <w:sz w:val="17"/>
              </w:rPr>
              <w:t>repeated-measures interaction; paired t with Šídák</w:t>
            </w:r>
          </w:p>
        </w:tc>
        <w:tc>
          <w:tcPr>
            <w:tcW w:type="dxa" w:w="3288"/>
          </w:tcPr>
          <w:p>
            <w:pPr>
              <w:spacing w:after="0" w:line="240" w:lineRule="auto"/>
            </w:pPr>
            <w:r>
              <w:rPr>
                <w:b w:val="0"/>
                <w:i w:val="0"/>
                <w:sz w:val="17"/>
              </w:rPr>
              <w:t>interaction p = 0.62; smallest adjusted p = 0.61</w:t>
            </w:r>
          </w:p>
        </w:tc>
      </w:tr>
      <w:tr>
        <w:tc>
          <w:tcPr>
            <w:tcW w:type="dxa" w:w="3288"/>
          </w:tcPr>
          <w:p>
            <w:pPr>
              <w:spacing w:after="0" w:line="240" w:lineRule="auto"/>
            </w:pPr>
            <w:r>
              <w:rPr>
                <w:b w:val="0"/>
                <w:i w:val="0"/>
                <w:sz w:val="17"/>
              </w:rPr>
              <w:t>Position along the window, Sanger vs nanopore</w:t>
            </w:r>
          </w:p>
        </w:tc>
        <w:tc>
          <w:tcPr>
            <w:tcW w:type="dxa" w:w="3288"/>
          </w:tcPr>
          <w:p>
            <w:pPr>
              <w:spacing w:after="0" w:line="240" w:lineRule="auto"/>
            </w:pPr>
            <w:r>
              <w:rPr>
                <w:b w:val="0"/>
                <w:i w:val="0"/>
                <w:sz w:val="17"/>
              </w:rPr>
              <w:t>Pearson r, 25-bp bins</w:t>
            </w:r>
          </w:p>
        </w:tc>
        <w:tc>
          <w:tcPr>
            <w:tcW w:type="dxa" w:w="3288"/>
          </w:tcPr>
          <w:p>
            <w:pPr>
              <w:spacing w:after="0" w:line="240" w:lineRule="auto"/>
            </w:pPr>
            <w:r>
              <w:rPr>
                <w:b w:val="0"/>
                <w:i w:val="0"/>
                <w:sz w:val="17"/>
              </w:rPr>
              <w:t>r = 0.94</w:t>
            </w:r>
          </w:p>
        </w:tc>
      </w:tr>
      <w:tr>
        <w:tc>
          <w:tcPr>
            <w:tcW w:type="dxa" w:w="3288"/>
          </w:tcPr>
          <w:p>
            <w:pPr>
              <w:spacing w:after="0" w:line="240" w:lineRule="auto"/>
            </w:pPr>
            <w:r>
              <w:rPr>
                <w:b w:val="0"/>
                <w:i w:val="0"/>
                <w:sz w:val="17"/>
              </w:rPr>
              <w:t>Targeting index, Wt calls (J</w:t>
            </w:r>
            <w:r>
              <w:rPr>
                <w:i w:val="0"/>
                <w:sz w:val="17"/>
                <w:vertAlign w:val="subscript"/>
              </w:rPr>
              <w:t>H</w:t>
            </w:r>
            <w:r>
              <w:rPr>
                <w:b w:val="0"/>
                <w:i w:val="0"/>
                <w:sz w:val="17"/>
              </w:rPr>
              <w:t>4)</w:t>
            </w:r>
          </w:p>
        </w:tc>
        <w:tc>
          <w:tcPr>
            <w:tcW w:type="dxa" w:w="3288"/>
          </w:tcPr>
          <w:p>
            <w:pPr>
              <w:spacing w:after="0" w:line="240" w:lineRule="auto"/>
            </w:pPr>
            <w:r>
              <w:rPr>
                <w:b w:val="0"/>
                <w:i w:val="0"/>
                <w:sz w:val="17"/>
              </w:rPr>
              <w:t>permutation, 2,000 position sets</w:t>
            </w:r>
          </w:p>
        </w:tc>
        <w:tc>
          <w:tcPr>
            <w:tcW w:type="dxa" w:w="3288"/>
          </w:tcPr>
          <w:p>
            <w:pPr>
              <w:spacing w:after="0" w:line="240" w:lineRule="auto"/>
            </w:pPr>
            <w:r>
              <w:rPr>
                <w:b w:val="0"/>
                <w:i w:val="0"/>
                <w:sz w:val="17"/>
              </w:rPr>
              <w:t>1.22–1.36; p ≤ 0.015</w:t>
            </w:r>
          </w:p>
        </w:tc>
      </w:tr>
      <w:tr>
        <w:tc>
          <w:tcPr>
            <w:tcW w:type="dxa" w:w="3288"/>
          </w:tcPr>
          <w:p>
            <w:pPr>
              <w:spacing w:after="0" w:line="240" w:lineRule="auto"/>
            </w:pPr>
            <w:r>
              <w:rPr>
                <w:b w:val="0"/>
                <w:i w:val="0"/>
                <w:sz w:val="17"/>
              </w:rPr>
              <w:t xml:space="preserve">Targeting index, </w:t>
            </w:r>
            <w:r>
              <w:rPr>
                <w:i/>
                <w:sz w:val="17"/>
              </w:rPr>
              <w:t>Aicda</w:t>
            </w:r>
            <w:r>
              <w:rPr>
                <w:i w:val="0"/>
                <w:sz w:val="17"/>
                <w:vertAlign w:val="superscript"/>
              </w:rPr>
              <w:t>−/−</w:t>
            </w:r>
            <w:r>
              <w:rPr>
                <w:b w:val="0"/>
                <w:i w:val="0"/>
                <w:sz w:val="17"/>
              </w:rPr>
              <w:t xml:space="preserve"> mismatch positions</w:t>
            </w:r>
          </w:p>
        </w:tc>
        <w:tc>
          <w:tcPr>
            <w:tcW w:type="dxa" w:w="3288"/>
          </w:tcPr>
          <w:p>
            <w:pPr>
              <w:spacing w:after="0" w:line="240" w:lineRule="auto"/>
            </w:pPr>
            <w:r>
              <w:rPr>
                <w:b w:val="0"/>
                <w:i w:val="0"/>
                <w:sz w:val="17"/>
              </w:rPr>
              <w:t>permutation</w:t>
            </w:r>
          </w:p>
        </w:tc>
        <w:tc>
          <w:tcPr>
            <w:tcW w:type="dxa" w:w="3288"/>
          </w:tcPr>
          <w:p>
            <w:pPr>
              <w:spacing w:after="0" w:line="240" w:lineRule="auto"/>
            </w:pPr>
            <w:r>
              <w:rPr>
                <w:b w:val="0"/>
                <w:i w:val="0"/>
                <w:sz w:val="17"/>
              </w:rPr>
              <w:t>1.00; p = 0.50</w:t>
            </w:r>
          </w:p>
        </w:tc>
      </w:tr>
      <w:tr>
        <w:tc>
          <w:tcPr>
            <w:tcW w:type="dxa" w:w="3288"/>
          </w:tcPr>
          <w:p>
            <w:pPr>
              <w:spacing w:after="0" w:line="240" w:lineRule="auto"/>
            </w:pPr>
            <w:r>
              <w:rPr>
                <w:b w:val="0"/>
                <w:i w:val="0"/>
                <w:sz w:val="17"/>
              </w:rPr>
              <w:t>Group tests without a true difference (simulated)</w:t>
            </w:r>
          </w:p>
        </w:tc>
        <w:tc>
          <w:tcPr>
            <w:tcW w:type="dxa" w:w="3288"/>
          </w:tcPr>
          <w:p>
            <w:pPr>
              <w:spacing w:after="0" w:line="240" w:lineRule="auto"/>
            </w:pPr>
            <w:r>
              <w:rPr>
                <w:b w:val="0"/>
                <w:i w:val="0"/>
                <w:sz w:val="17"/>
              </w:rPr>
              <w:t>share with p &lt; 0.05, 300 experiments</w:t>
            </w:r>
          </w:p>
        </w:tc>
        <w:tc>
          <w:tcPr>
            <w:tcW w:type="dxa" w:w="3288"/>
          </w:tcPr>
          <w:p>
            <w:pPr>
              <w:spacing w:after="0" w:line="240" w:lineRule="auto"/>
            </w:pPr>
            <w:r>
              <w:rPr>
                <w:b w:val="0"/>
                <w:i w:val="0"/>
                <w:sz w:val="17"/>
              </w:rPr>
              <w:t>pooled reads 0.91–0.94; negative binomial 0.050–0.057; Welch 0.037–0.043</w:t>
            </w:r>
          </w:p>
        </w:tc>
      </w:tr>
      <w:tr>
        <w:tc>
          <w:tcPr>
            <w:tcW w:type="dxa" w:w="3288"/>
          </w:tcPr>
          <w:p>
            <w:pPr>
              <w:spacing w:after="0" w:line="240" w:lineRule="auto"/>
            </w:pPr>
            <w:r>
              <w:rPr>
                <w:b w:val="0"/>
                <w:i w:val="0"/>
                <w:sz w:val="17"/>
              </w:rPr>
              <w:t>Leave-one-control-out margin</w:t>
            </w:r>
          </w:p>
        </w:tc>
        <w:tc>
          <w:tcPr>
            <w:tcW w:type="dxa" w:w="3288"/>
          </w:tcPr>
          <w:p>
            <w:pPr>
              <w:spacing w:after="0" w:line="240" w:lineRule="auto"/>
            </w:pPr>
            <w:r>
              <w:rPr>
                <w:b w:val="0"/>
                <w:i w:val="0"/>
                <w:sz w:val="17"/>
              </w:rPr>
              <w:t>held-out control tests with p &lt; 0.01 at the samples' depth</w:t>
            </w:r>
          </w:p>
        </w:tc>
        <w:tc>
          <w:tcPr>
            <w:tcW w:type="dxa" w:w="3288"/>
          </w:tcPr>
          <w:p>
            <w:pPr>
              <w:spacing w:after="0" w:line="240" w:lineRule="auto"/>
            </w:pPr>
            <w:r>
              <w:rPr>
                <w:b w:val="0"/>
                <w:i w:val="0"/>
                <w:sz w:val="17"/>
              </w:rPr>
              <w:t>J</w:t>
            </w:r>
            <w:r>
              <w:rPr>
                <w:i w:val="0"/>
                <w:sz w:val="17"/>
                <w:vertAlign w:val="subscript"/>
              </w:rPr>
              <w:t>H</w:t>
            </w:r>
            <w:r>
              <w:rPr>
                <w:b w:val="0"/>
                <w:i w:val="0"/>
                <w:sz w:val="17"/>
              </w:rPr>
              <w:t>4 5.4% at 1×, 1.0% at 5×; N114 V</w:t>
            </w:r>
            <w:r>
              <w:rPr>
                <w:i w:val="0"/>
                <w:sz w:val="17"/>
                <w:vertAlign w:val="subscript"/>
              </w:rPr>
              <w:t>H</w:t>
            </w:r>
            <w:r>
              <w:rPr>
                <w:b w:val="0"/>
                <w:i w:val="0"/>
                <w:sz w:val="17"/>
              </w:rPr>
              <w:t xml:space="preserve"> 9.6% at 1×, 0.5% at 10×</w:t>
            </w:r>
          </w:p>
        </w:tc>
      </w:tr>
      <w:tr>
        <w:tc>
          <w:tcPr>
            <w:tcW w:type="dxa" w:w="3288"/>
          </w:tcPr>
          <w:p>
            <w:pPr>
              <w:spacing w:after="0" w:line="240" w:lineRule="auto"/>
            </w:pPr>
            <w:r>
              <w:rPr>
                <w:b w:val="0"/>
                <w:i w:val="0"/>
                <w:sz w:val="17"/>
              </w:rPr>
              <w:t>Sensitive mode (FDR 0.20) vs default (0.05), J</w:t>
            </w:r>
            <w:r>
              <w:rPr>
                <w:i w:val="0"/>
                <w:sz w:val="17"/>
                <w:vertAlign w:val="subscript"/>
              </w:rPr>
              <w:t>H</w:t>
            </w:r>
            <w:r>
              <w:rPr>
                <w:b w:val="0"/>
                <w:i w:val="0"/>
                <w:sz w:val="17"/>
              </w:rPr>
              <w:t>4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72% vs 31%; 92% vs 81%; 0.18 vs 0.050; 11.9 vs 2.6</w:t>
            </w:r>
          </w:p>
        </w:tc>
      </w:tr>
      <w:tr>
        <w:tc>
          <w:tcPr>
            <w:tcW w:type="dxa" w:w="3288"/>
          </w:tcPr>
          <w:p>
            <w:pPr>
              <w:spacing w:after="0" w:line="240" w:lineRule="auto"/>
            </w:pPr>
            <w:r>
              <w:rPr>
                <w:b w:val="0"/>
                <w:i w:val="0"/>
                <w:sz w:val="17"/>
              </w:rPr>
              <w:t>Sensitive mode (FDR 0.20) vs default (0.05), N114 V</w:t>
            </w:r>
            <w:r>
              <w:rPr>
                <w:i w:val="0"/>
                <w:sz w:val="17"/>
                <w:vertAlign w:val="subscript"/>
              </w:rPr>
              <w:t>H</w:t>
            </w:r>
            <w:r>
              <w:rPr>
                <w:b w:val="0"/>
                <w:i w:val="0"/>
                <w:sz w:val="17"/>
              </w:rPr>
              <w:t xml:space="preserve"> spike-ins</w:t>
            </w:r>
          </w:p>
        </w:tc>
        <w:tc>
          <w:tcPr>
            <w:tcW w:type="dxa" w:w="3288"/>
          </w:tcPr>
          <w:p>
            <w:pPr>
              <w:spacing w:after="0" w:line="240" w:lineRule="auto"/>
            </w:pPr>
            <w:r>
              <w:rPr>
                <w:b w:val="0"/>
                <w:i w:val="0"/>
                <w:sz w:val="17"/>
              </w:rPr>
              <w:t>single-read recall; overall recall; observed FDR; false calls per library</w:t>
            </w:r>
          </w:p>
        </w:tc>
        <w:tc>
          <w:tcPr>
            <w:tcW w:type="dxa" w:w="3288"/>
          </w:tcPr>
          <w:p>
            <w:pPr>
              <w:spacing w:after="0" w:line="240" w:lineRule="auto"/>
            </w:pPr>
            <w:r>
              <w:rPr>
                <w:b w:val="0"/>
                <w:i w:val="0"/>
                <w:sz w:val="17"/>
              </w:rPr>
              <w:t>87% vs 58%; 96% vs 90%; 0.16 vs 0.045; 11.0 vs 2.6</w:t>
            </w:r>
          </w:p>
        </w:tc>
      </w:tr>
      <w:tr>
        <w:tc>
          <w:tcPr>
            <w:tcW w:type="dxa" w:w="3288"/>
          </w:tcPr>
          <w:p>
            <w:pPr>
              <w:spacing w:after="0" w:line="240" w:lineRule="auto"/>
            </w:pPr>
            <w:r>
              <w:rPr>
                <w:i/>
                <w:sz w:val="17"/>
              </w:rPr>
              <w:t>Ldha</w:t>
            </w:r>
            <w:r>
              <w:rPr>
                <w:b w:val="0"/>
                <w:i w:val="0"/>
                <w:sz w:val="17"/>
              </w:rPr>
              <w:t>-deleted vs Wt (Illumina J</w:t>
            </w:r>
            <w:r>
              <w:rPr>
                <w:i w:val="0"/>
                <w:sz w:val="17"/>
                <w:vertAlign w:val="subscript"/>
              </w:rPr>
              <w:t>H</w:t>
            </w:r>
            <w:r>
              <w:rPr>
                <w:b w:val="0"/>
                <w:i w:val="0"/>
                <w:sz w:val="17"/>
              </w:rPr>
              <w:t>4, mutation frequency)</w:t>
            </w:r>
          </w:p>
        </w:tc>
        <w:tc>
          <w:tcPr>
            <w:tcW w:type="dxa" w:w="3288"/>
          </w:tcPr>
          <w:p>
            <w:pPr>
              <w:spacing w:after="0" w:line="240" w:lineRule="auto"/>
            </w:pPr>
            <w:r>
              <w:rPr>
                <w:b w:val="0"/>
                <w:i w:val="0"/>
                <w:sz w:val="17"/>
              </w:rPr>
              <w:t>Welch interval on log</w:t>
            </w:r>
            <w:r>
              <w:rPr>
                <w:i w:val="0"/>
                <w:sz w:val="17"/>
                <w:vertAlign w:val="subscript"/>
              </w:rPr>
              <w:t>10</w:t>
            </w:r>
            <w:r>
              <w:rPr>
                <w:b w:val="0"/>
                <w:i w:val="0"/>
                <w:sz w:val="17"/>
              </w:rPr>
              <w:t>; Mann–Whitney p; n = 7 vs 7</w:t>
            </w:r>
          </w:p>
        </w:tc>
        <w:tc>
          <w:tcPr>
            <w:tcW w:type="dxa" w:w="3288"/>
          </w:tcPr>
          <w:p>
            <w:pPr>
              <w:spacing w:after="0" w:line="240" w:lineRule="auto"/>
            </w:pPr>
            <w:r>
              <w:rPr>
                <w:b w:val="0"/>
                <w:i w:val="0"/>
                <w:sz w:val="17"/>
              </w:rPr>
              <w:t>0.55-fold [95% CI 0.07–4.49]; p = 0.75</w:t>
            </w:r>
          </w:p>
        </w:tc>
      </w:tr>
      <w:tr>
        <w:tc>
          <w:tcPr>
            <w:tcW w:type="dxa" w:w="3288"/>
          </w:tcPr>
          <w:p>
            <w:pPr>
              <w:spacing w:after="0" w:line="240" w:lineRule="auto"/>
            </w:pPr>
            <w:r>
              <w:rPr>
                <w:b w:val="0"/>
                <w:i w:val="0"/>
                <w:sz w:val="17"/>
              </w:rPr>
              <w:t>Repair context, transitions at C:G (NIH-3T3, SHMtrace calls)</w:t>
            </w:r>
          </w:p>
        </w:tc>
        <w:tc>
          <w:tcPr>
            <w:tcW w:type="dxa" w:w="3288"/>
          </w:tcPr>
          <w:p>
            <w:pPr>
              <w:spacing w:after="0" w:line="240" w:lineRule="auto"/>
            </w:pPr>
            <w:r>
              <w:rPr>
                <w:b w:val="0"/>
                <w:i w:val="0"/>
                <w:sz w:val="17"/>
              </w:rPr>
              <w:t>one value per experiment; n = 3 per arm</w:t>
            </w:r>
          </w:p>
        </w:tc>
        <w:tc>
          <w:tcPr>
            <w:tcW w:type="dxa" w:w="3288"/>
          </w:tcPr>
          <w:p>
            <w:pPr>
              <w:spacing w:after="0" w:line="240" w:lineRule="auto"/>
            </w:pPr>
            <w:r>
              <w:rPr>
                <w:b w:val="0"/>
                <w:i w:val="0"/>
                <w:sz w:val="17"/>
              </w:rPr>
              <w:t>95% (Ugi) vs 4% (UNG); paired t, p = 0.0021</w:t>
            </w:r>
          </w:p>
        </w:tc>
      </w:tr>
      <w:tr>
        <w:tc>
          <w:tcPr>
            <w:tcW w:type="dxa" w:w="3288"/>
          </w:tcPr>
          <w:p>
            <w:pPr>
              <w:spacing w:after="0" w:line="240" w:lineRule="auto"/>
            </w:pPr>
            <w:r>
              <w:rPr>
                <w:b w:val="0"/>
                <w:i w:val="0"/>
                <w:sz w:val="17"/>
              </w:rPr>
              <w:t>Spike-in FDR, control-based vs Benjamini–Hochberg</w:t>
            </w:r>
          </w:p>
        </w:tc>
        <w:tc>
          <w:tcPr>
            <w:tcW w:type="dxa" w:w="3288"/>
          </w:tcPr>
          <w:p>
            <w:pPr>
              <w:spacing w:after="0" w:line="240" w:lineRule="auto"/>
            </w:pPr>
            <w:r>
              <w:rPr>
                <w:b w:val="0"/>
                <w:i w:val="0"/>
                <w:sz w:val="17"/>
              </w:rPr>
              <w:t>observed false/(true + false) calls</w:t>
            </w:r>
          </w:p>
        </w:tc>
        <w:tc>
          <w:tcPr>
            <w:tcW w:type="dxa" w:w="3288"/>
          </w:tcPr>
          <w:p>
            <w:pPr>
              <w:spacing w:after="0" w:line="240" w:lineRule="auto"/>
            </w:pPr>
            <w:r>
              <w:rPr>
                <w:b w:val="0"/>
                <w:i w:val="0"/>
                <w:sz w:val="17"/>
              </w:rPr>
              <w:t>J</w:t>
            </w:r>
            <w:r>
              <w:rPr>
                <w:i w:val="0"/>
                <w:sz w:val="17"/>
                <w:vertAlign w:val="subscript"/>
              </w:rPr>
              <w:t>H</w:t>
            </w:r>
            <w:r>
              <w:rPr>
                <w:b w:val="0"/>
                <w:i w:val="0"/>
                <w:sz w:val="17"/>
              </w:rPr>
              <w:t>4 0.050 vs 0.046; N114 V</w:t>
            </w:r>
            <w:r>
              <w:rPr>
                <w:i w:val="0"/>
                <w:sz w:val="17"/>
                <w:vertAlign w:val="subscript"/>
              </w:rPr>
              <w:t>H</w:t>
            </w:r>
            <w:r>
              <w:rPr>
                <w:b w:val="0"/>
                <w:i w:val="0"/>
                <w:sz w:val="17"/>
              </w:rPr>
              <w:t xml:space="preserve"> 0.045 vs 0.045 (other C3 library: 0.079 vs 0.105)</w:t>
            </w:r>
          </w:p>
        </w:tc>
      </w:tr>
    </w:tbl>
    <w:p>
      <w:pPr>
        <w:keepLines/>
        <w:spacing w:after="80" w:line="240" w:lineRule="auto"/>
      </w:pPr>
      <w:r>
        <w:rPr>
          <w:b w:val="0"/>
          <w:i w:val="0"/>
          <w:sz w:val="17"/>
        </w:rPr>
        <w:t>With three animals per group, p values and intervals should be interpreted descriptively. Fold separation depends on the one-event convention used for zero-call controls and does not represent a statistical lower confidence bound.</w:t>
      </w:r>
    </w:p>
    <w:p>
      <w:pPr>
        <w:pageBreakBefore/>
      </w:pPr>
      <w:bookmarkStart w:id="38" w:name="tab_S7"/>
      <w:bookmarkEnd w:id="38"/>
      <w:r>
        <w:rPr>
          <w:b/>
          <w:i w:val="0"/>
          <w:sz w:val="20"/>
        </w:rPr>
        <w:t>Table S7. The default calling threshold against two stricter settings, related to STAR Methods and Figure 3</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2266"/>
          </w:tcPr>
          <w:p>
            <w:pPr>
              <w:spacing w:after="0"/>
            </w:pPr>
            <w:r>
              <w:rPr>
                <w:b/>
                <w:i w:val="0"/>
                <w:sz w:val="15"/>
              </w:rPr>
              <w:t>Benchmark</w:t>
            </w:r>
          </w:p>
        </w:tc>
        <w:tc>
          <w:tcPr>
            <w:tcW w:type="dxa" w:w="1733"/>
          </w:tcPr>
          <w:p>
            <w:pPr>
              <w:spacing w:after="0"/>
            </w:pPr>
            <w:r>
              <w:rPr>
                <w:b/>
                <w:i w:val="0"/>
                <w:sz w:val="15"/>
              </w:rPr>
              <w:t>Setting</w:t>
            </w:r>
          </w:p>
        </w:tc>
        <w:tc>
          <w:tcPr>
            <w:tcW w:type="dxa" w:w="1600"/>
          </w:tcPr>
          <w:p>
            <w:pPr>
              <w:spacing w:after="0"/>
            </w:pPr>
            <w:r>
              <w:rPr>
                <w:b/>
                <w:i w:val="0"/>
                <w:sz w:val="15"/>
              </w:rPr>
              <w:t>False calls per library</w:t>
            </w:r>
          </w:p>
        </w:tc>
        <w:tc>
          <w:tcPr>
            <w:tcW w:type="dxa" w:w="1466"/>
          </w:tcPr>
          <w:p>
            <w:pPr>
              <w:spacing w:after="0"/>
            </w:pPr>
            <w:r>
              <w:rPr>
                <w:b/>
                <w:i w:val="0"/>
                <w:sz w:val="15"/>
              </w:rPr>
              <w:t>FDR</w:t>
            </w:r>
          </w:p>
        </w:tc>
        <w:tc>
          <w:tcPr>
            <w:tcW w:type="dxa" w:w="1200"/>
          </w:tcPr>
          <w:p>
            <w:pPr>
              <w:spacing w:after="0"/>
            </w:pPr>
            <w:r>
              <w:rPr>
                <w:b/>
                <w:i w:val="0"/>
                <w:sz w:val="15"/>
              </w:rPr>
              <w:t>Recall</w:t>
            </w:r>
          </w:p>
        </w:tc>
        <w:tc>
          <w:tcPr>
            <w:tcW w:type="dxa" w:w="1600"/>
          </w:tcPr>
          <w:p>
            <w:pPr>
              <w:spacing w:after="0"/>
            </w:pPr>
            <w:r>
              <w:rPr>
                <w:b/>
                <w:i w:val="0"/>
                <w:sz w:val="15"/>
              </w:rPr>
              <w:t>Single-read recall</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0.050</w:t>
            </w:r>
          </w:p>
        </w:tc>
        <w:tc>
          <w:tcPr>
            <w:tcW w:type="dxa" w:w="1200"/>
          </w:tcPr>
          <w:p>
            <w:pPr>
              <w:spacing w:after="0" w:line="240" w:lineRule="auto"/>
            </w:pPr>
            <w:r>
              <w:rPr>
                <w:b w:val="0"/>
                <w:i w:val="0"/>
                <w:sz w:val="15"/>
              </w:rPr>
              <w:t>81%</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0.061</w:t>
            </w:r>
          </w:p>
        </w:tc>
        <w:tc>
          <w:tcPr>
            <w:tcW w:type="dxa" w:w="1200"/>
          </w:tcPr>
          <w:p>
            <w:pPr>
              <w:spacing w:after="0" w:line="240" w:lineRule="auto"/>
            </w:pPr>
            <w:r>
              <w:rPr>
                <w:b w:val="0"/>
                <w:i w:val="0"/>
                <w:sz w:val="15"/>
              </w:rPr>
              <w:t>17%</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55%</w:t>
            </w:r>
          </w:p>
        </w:tc>
        <w:tc>
          <w:tcPr>
            <w:tcW w:type="dxa" w:w="1600"/>
          </w:tcPr>
          <w:p>
            <w:pPr>
              <w:spacing w:after="0" w:line="240" w:lineRule="auto"/>
            </w:pPr>
            <w:r>
              <w:rPr>
                <w:b w:val="0"/>
                <w:i w:val="0"/>
                <w:sz w:val="15"/>
              </w:rPr>
              <w:t>7%</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2.6</w:t>
            </w:r>
          </w:p>
        </w:tc>
        <w:tc>
          <w:tcPr>
            <w:tcW w:type="dxa" w:w="1466"/>
          </w:tcPr>
          <w:p>
            <w:pPr>
              <w:spacing w:after="0" w:line="240" w:lineRule="auto"/>
            </w:pPr>
            <w:r>
              <w:rPr>
                <w:b w:val="0"/>
                <w:i w:val="0"/>
                <w:sz w:val="15"/>
              </w:rPr>
              <w:t>0.045</w:t>
            </w:r>
          </w:p>
        </w:tc>
        <w:tc>
          <w:tcPr>
            <w:tcW w:type="dxa" w:w="1200"/>
          </w:tcPr>
          <w:p>
            <w:pPr>
              <w:spacing w:after="0" w:line="240" w:lineRule="auto"/>
            </w:pPr>
            <w:r>
              <w:rPr>
                <w:b w:val="0"/>
                <w:i w:val="0"/>
                <w:sz w:val="15"/>
              </w:rPr>
              <w:t>90%</w:t>
            </w:r>
          </w:p>
        </w:tc>
        <w:tc>
          <w:tcPr>
            <w:tcW w:type="dxa" w:w="1600"/>
          </w:tcPr>
          <w:p>
            <w:pPr>
              <w:spacing w:after="0" w:line="240" w:lineRule="auto"/>
            </w:pPr>
            <w:r>
              <w:rPr>
                <w:b w:val="0"/>
                <w:i w:val="0"/>
                <w:sz w:val="15"/>
              </w:rPr>
              <w:t>58%</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0.2</w:t>
            </w:r>
          </w:p>
        </w:tc>
        <w:tc>
          <w:tcPr>
            <w:tcW w:type="dxa" w:w="1466"/>
          </w:tcPr>
          <w:p>
            <w:pPr>
              <w:spacing w:after="0" w:line="240" w:lineRule="auto"/>
            </w:pPr>
            <w:r>
              <w:rPr>
                <w:b w:val="0"/>
                <w:i w:val="0"/>
                <w:sz w:val="15"/>
              </w:rPr>
              <w:t>0.005</w:t>
            </w:r>
          </w:p>
        </w:tc>
        <w:tc>
          <w:tcPr>
            <w:tcW w:type="dxa" w:w="1200"/>
          </w:tcPr>
          <w:p>
            <w:pPr>
              <w:spacing w:after="0" w:line="240" w:lineRule="auto"/>
            </w:pPr>
            <w:r>
              <w:rPr>
                <w:b w:val="0"/>
                <w:i w:val="0"/>
                <w:sz w:val="15"/>
              </w:rPr>
              <w:t>76%</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Spike-ins, N114 V</w:t>
            </w:r>
            <w:r>
              <w:rPr>
                <w:i w:val="0"/>
                <w:sz w:val="15"/>
                <w:vertAlign w:val="subscript"/>
              </w:rPr>
              <w:t>H</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2.1</w:t>
            </w:r>
          </w:p>
        </w:tc>
        <w:tc>
          <w:tcPr>
            <w:tcW w:type="dxa" w:w="1466"/>
          </w:tcPr>
          <w:p>
            <w:pPr>
              <w:spacing w:after="0" w:line="240" w:lineRule="auto"/>
            </w:pPr>
            <w:r>
              <w:rPr>
                <w:b w:val="0"/>
                <w:i w:val="0"/>
                <w:sz w:val="15"/>
              </w:rPr>
              <w:t>0.038</w:t>
            </w:r>
          </w:p>
        </w:tc>
        <w:tc>
          <w:tcPr>
            <w:tcW w:type="dxa" w:w="1200"/>
          </w:tcPr>
          <w:p>
            <w:pPr>
              <w:spacing w:after="0" w:line="240" w:lineRule="auto"/>
            </w:pPr>
            <w:r>
              <w:rPr>
                <w:b w:val="0"/>
                <w:i w:val="0"/>
                <w:sz w:val="15"/>
              </w:rPr>
              <w:t>89%</w:t>
            </w:r>
          </w:p>
        </w:tc>
        <w:tc>
          <w:tcPr>
            <w:tcW w:type="dxa" w:w="1600"/>
          </w:tcPr>
          <w:p>
            <w:pPr>
              <w:spacing w:after="0" w:line="240" w:lineRule="auto"/>
            </w:pPr>
            <w:r>
              <w:rPr>
                <w:b w:val="0"/>
                <w:i w:val="0"/>
                <w:sz w:val="15"/>
              </w:rPr>
              <w:t>54%</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13.7</w:t>
            </w:r>
          </w:p>
        </w:tc>
        <w:tc>
          <w:tcPr>
            <w:tcW w:type="dxa" w:w="1466"/>
          </w:tcPr>
          <w:p>
            <w:pPr>
              <w:spacing w:after="0" w:line="240" w:lineRule="auto"/>
            </w:pPr>
            <w:r>
              <w:rPr>
                <w:b w:val="0"/>
                <w:i w:val="0"/>
                <w:sz w:val="15"/>
              </w:rPr>
              <w:t>0.037</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83%</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3.0</w:t>
            </w:r>
          </w:p>
        </w:tc>
        <w:tc>
          <w:tcPr>
            <w:tcW w:type="dxa" w:w="1466"/>
          </w:tcPr>
          <w:p>
            <w:pPr>
              <w:spacing w:after="0" w:line="240" w:lineRule="auto"/>
            </w:pPr>
            <w:r>
              <w:rPr>
                <w:b w:val="0"/>
                <w:i w:val="0"/>
                <w:sz w:val="15"/>
              </w:rPr>
              <w:t>0.010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38%</w:t>
            </w:r>
          </w:p>
        </w:tc>
      </w:tr>
      <w:tr>
        <w:tc>
          <w:tcPr>
            <w:tcW w:type="dxa" w:w="2266"/>
          </w:tcPr>
          <w:p>
            <w:pPr>
              <w:spacing w:after="0" w:line="240" w:lineRule="auto"/>
            </w:pPr>
            <w:r>
              <w:rPr>
                <w:b w:val="0"/>
                <w:i w:val="0"/>
                <w:sz w:val="15"/>
              </w:rPr>
              <w:t>Lineages, polyclonal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80%</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12.0</w:t>
            </w:r>
          </w:p>
        </w:tc>
        <w:tc>
          <w:tcPr>
            <w:tcW w:type="dxa" w:w="1466"/>
          </w:tcPr>
          <w:p>
            <w:pPr>
              <w:spacing w:after="0" w:line="240" w:lineRule="auto"/>
            </w:pPr>
            <w:r>
              <w:rPr>
                <w:b w:val="0"/>
                <w:i w:val="0"/>
                <w:sz w:val="15"/>
              </w:rPr>
              <w:t>0.034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84%</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1.0</w:t>
            </w:r>
          </w:p>
        </w:tc>
        <w:tc>
          <w:tcPr>
            <w:tcW w:type="dxa" w:w="1466"/>
          </w:tcPr>
          <w:p>
            <w:pPr>
              <w:spacing w:after="0" w:line="240" w:lineRule="auto"/>
            </w:pPr>
            <w:r>
              <w:rPr>
                <w:b w:val="0"/>
                <w:i w:val="0"/>
                <w:sz w:val="15"/>
              </w:rPr>
              <w:t>0.004</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31%</w:t>
            </w:r>
          </w:p>
        </w:tc>
      </w:tr>
      <w:tr>
        <w:tc>
          <w:tcPr>
            <w:tcW w:type="dxa" w:w="2266"/>
          </w:tcPr>
          <w:p>
            <w:pPr>
              <w:spacing w:after="0" w:line="240" w:lineRule="auto"/>
            </w:pPr>
            <w:r>
              <w:rPr>
                <w:b w:val="0"/>
                <w:i w:val="0"/>
                <w:sz w:val="15"/>
              </w:rPr>
              <w:t>Lineages, expanded clone</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10.7</w:t>
            </w:r>
          </w:p>
        </w:tc>
        <w:tc>
          <w:tcPr>
            <w:tcW w:type="dxa" w:w="1466"/>
          </w:tcPr>
          <w:p>
            <w:pPr>
              <w:spacing w:after="0" w:line="240" w:lineRule="auto"/>
            </w:pPr>
            <w:r>
              <w:rPr>
                <w:b w:val="0"/>
                <w:i w:val="0"/>
                <w:sz w:val="15"/>
              </w:rPr>
              <w:t>0.030</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82%</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2.3</w:t>
            </w:r>
          </w:p>
        </w:tc>
        <w:tc>
          <w:tcPr>
            <w:tcW w:type="dxa" w:w="1466"/>
          </w:tcPr>
          <w:p>
            <w:pPr>
              <w:spacing w:after="0" w:line="240" w:lineRule="auto"/>
            </w:pPr>
            <w:r>
              <w:rPr>
                <w:b w:val="0"/>
                <w:i w:val="0"/>
                <w:sz w:val="15"/>
              </w:rPr>
              <w:t>0.029</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45%</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0.053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0%</w:t>
            </w:r>
          </w:p>
        </w:tc>
      </w:tr>
      <w:tr>
        <w:tc>
          <w:tcPr>
            <w:tcW w:type="dxa" w:w="2266"/>
          </w:tcPr>
          <w:p>
            <w:pPr>
              <w:spacing w:after="0" w:line="240" w:lineRule="auto"/>
            </w:pPr>
            <w:r>
              <w:rPr>
                <w:b w:val="0"/>
                <w:i w:val="0"/>
                <w:sz w:val="15"/>
              </w:rPr>
              <w:t>Lineages, low load</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0.013</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23%</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Default</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α 0.01</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r>
        <w:tc>
          <w:tcPr>
            <w:tcW w:type="dxa" w:w="2266"/>
          </w:tcPr>
          <w:p>
            <w:pPr>
              <w:spacing w:after="0" w:line="240" w:lineRule="auto"/>
            </w:pPr>
            <w:r>
              <w:rPr>
                <w:b w:val="0"/>
                <w:i w:val="0"/>
                <w:sz w:val="15"/>
              </w:rPr>
              <w:t>Lineages, null</w:t>
            </w:r>
          </w:p>
        </w:tc>
        <w:tc>
          <w:tcPr>
            <w:tcW w:type="dxa" w:w="1733"/>
          </w:tcPr>
          <w:p>
            <w:pPr>
              <w:spacing w:after="0" w:line="240" w:lineRule="auto"/>
            </w:pPr>
            <w:r>
              <w:rPr>
                <w:b w:val="0"/>
                <w:i w:val="0"/>
                <w:sz w:val="15"/>
              </w:rPr>
              <w:t>Noisiest decoy</w:t>
            </w:r>
          </w:p>
        </w:tc>
        <w:tc>
          <w:tcPr>
            <w:tcW w:type="dxa" w:w="1600"/>
          </w:tcPr>
          <w:p>
            <w:pPr>
              <w:spacing w:after="0" w:line="240" w:lineRule="auto"/>
            </w:pPr>
            <w:r>
              <w:rPr>
                <w:b w:val="0"/>
                <w:i w:val="0"/>
                <w:sz w:val="15"/>
              </w:rPr>
              <w:t>0.7</w:t>
            </w:r>
          </w:p>
        </w:tc>
        <w:tc>
          <w:tcPr>
            <w:tcW w:type="dxa" w:w="1466"/>
          </w:tcPr>
          <w:p>
            <w:pPr>
              <w:spacing w:after="0" w:line="240" w:lineRule="auto"/>
            </w:pPr>
            <w:r>
              <w:rPr>
                <w:b w:val="0"/>
                <w:i w:val="0"/>
                <w:sz w:val="15"/>
              </w:rPr>
              <w:t>1 (all false)</w:t>
            </w:r>
          </w:p>
        </w:tc>
        <w:tc>
          <w:tcPr>
            <w:tcW w:type="dxa" w:w="1200"/>
          </w:tcPr>
          <w:p>
            <w:pPr>
              <w:spacing w:after="0" w:line="240" w:lineRule="auto"/>
            </w:pPr>
            <w:r>
              <w:rPr>
                <w:b w:val="0"/>
                <w:i w:val="0"/>
                <w:sz w:val="15"/>
              </w:rPr>
              <w:t>–</w:t>
            </w:r>
          </w:p>
        </w:tc>
        <w:tc>
          <w:tcPr>
            <w:tcW w:type="dxa" w:w="1600"/>
          </w:tcPr>
          <w:p>
            <w:pPr>
              <w:spacing w:after="0" w:line="240" w:lineRule="auto"/>
            </w:pPr>
            <w:r>
              <w:rPr>
                <w:b w:val="0"/>
                <w:i w:val="0"/>
                <w:sz w:val="15"/>
              </w:rPr>
              <w:t>–</w:t>
            </w:r>
          </w:p>
        </w:tc>
      </w:tr>
    </w:tbl>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tblHeader w:val="true"/>
        </w:trPr>
        <w:tc>
          <w:tcPr>
            <w:tcW w:type="dxa" w:w="1466"/>
          </w:tcPr>
          <w:p>
            <w:pPr>
              <w:spacing w:after="0"/>
            </w:pPr>
            <w:r>
              <w:rPr>
                <w:b/>
                <w:i w:val="0"/>
                <w:sz w:val="15"/>
              </w:rPr>
              <w:t>Project</w:t>
            </w:r>
          </w:p>
        </w:tc>
        <w:tc>
          <w:tcPr>
            <w:tcW w:type="dxa" w:w="1733"/>
          </w:tcPr>
          <w:p>
            <w:pPr>
              <w:spacing w:after="0"/>
            </w:pPr>
            <w:r>
              <w:rPr>
                <w:b/>
                <w:i w:val="0"/>
                <w:sz w:val="15"/>
              </w:rPr>
              <w:t>Setting</w:t>
            </w:r>
          </w:p>
        </w:tc>
        <w:tc>
          <w:tcPr>
            <w:tcW w:type="dxa" w:w="2266"/>
          </w:tcPr>
          <w:p>
            <w:pPr>
              <w:spacing w:after="0"/>
            </w:pPr>
            <w:r>
              <w:rPr>
                <w:b/>
                <w:i w:val="0"/>
                <w:sz w:val="15"/>
              </w:rPr>
              <w:t>Calls, mutation-bearing</w:t>
            </w:r>
          </w:p>
        </w:tc>
        <w:tc>
          <w:tcPr>
            <w:tcW w:type="dxa" w:w="1733"/>
          </w:tcPr>
          <w:p>
            <w:pPr>
              <w:spacing w:after="0"/>
            </w:pPr>
            <w:r>
              <w:rPr>
                <w:b/>
                <w:i w:val="0"/>
                <w:sz w:val="15"/>
              </w:rPr>
              <w:t>Calls, controls</w:t>
            </w:r>
          </w:p>
        </w:tc>
        <w:tc>
          <w:tcPr>
            <w:tcW w:type="dxa" w:w="1466"/>
          </w:tcPr>
          <w:p>
            <w:pPr>
              <w:spacing w:after="0"/>
            </w:pPr>
            <w:r>
              <w:rPr>
                <w:b/>
                <w:i w:val="0"/>
                <w:sz w:val="15"/>
              </w:rPr>
              <w:t>p (log-Welch)</w:t>
            </w:r>
          </w:p>
        </w:tc>
        <w:tc>
          <w:tcPr>
            <w:tcW w:type="dxa" w:w="1200"/>
          </w:tcPr>
          <w:p>
            <w:pPr>
              <w:spacing w:after="0"/>
            </w:pPr>
            <w:r>
              <w:rPr>
                <w:b/>
                <w:i w:val="0"/>
                <w:sz w:val="15"/>
              </w:rPr>
              <w:t>Fold</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221, 344, 73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0.0027</w:t>
            </w:r>
          </w:p>
        </w:tc>
        <w:tc>
          <w:tcPr>
            <w:tcW w:type="dxa" w:w="1200"/>
          </w:tcPr>
          <w:p>
            <w:pPr>
              <w:spacing w:after="0" w:line="240" w:lineRule="auto"/>
            </w:pPr>
            <w:r>
              <w:rPr>
                <w:b w:val="0"/>
                <w:i w:val="0"/>
                <w:sz w:val="15"/>
              </w:rPr>
              <w:t>141</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175, 337, 62</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0.0039</w:t>
            </w:r>
          </w:p>
        </w:tc>
        <w:tc>
          <w:tcPr>
            <w:tcW w:type="dxa" w:w="1200"/>
          </w:tcPr>
          <w:p>
            <w:pPr>
              <w:spacing w:after="0" w:line="240" w:lineRule="auto"/>
            </w:pPr>
            <w:r>
              <w:rPr>
                <w:b w:val="0"/>
                <w:i w:val="0"/>
                <w:sz w:val="15"/>
              </w:rPr>
              <w:t>123</w:t>
            </w:r>
          </w:p>
        </w:tc>
      </w:tr>
      <w:tr>
        <w:tc>
          <w:tcPr>
            <w:tcW w:type="dxa" w:w="1466"/>
          </w:tcPr>
          <w:p>
            <w:pPr>
              <w:spacing w:after="0" w:line="240" w:lineRule="auto"/>
            </w:pPr>
            <w:r>
              <w:rPr>
                <w:b w:val="0"/>
                <w:i w:val="0"/>
                <w:sz w:val="15"/>
              </w:rPr>
              <w:t>J</w:t>
            </w:r>
            <w:r>
              <w:rPr>
                <w:i w:val="0"/>
                <w:sz w:val="15"/>
                <w:vertAlign w:val="subscript"/>
              </w:rPr>
              <w:t>H</w:t>
            </w:r>
            <w:r>
              <w:rPr>
                <w:b w:val="0"/>
                <w:i w:val="0"/>
                <w:sz w:val="15"/>
              </w:rPr>
              <w:t>4</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206, 341, 73</w:t>
            </w:r>
          </w:p>
        </w:tc>
        <w:tc>
          <w:tcPr>
            <w:tcW w:type="dxa" w:w="1733"/>
          </w:tcPr>
          <w:p>
            <w:pPr>
              <w:spacing w:after="0" w:line="240" w:lineRule="auto"/>
            </w:pPr>
            <w:r>
              <w:rPr>
                <w:b w:val="0"/>
                <w:i w:val="0"/>
                <w:sz w:val="15"/>
              </w:rPr>
              <w:t>0, 2, 0</w:t>
            </w:r>
          </w:p>
        </w:tc>
        <w:tc>
          <w:tcPr>
            <w:tcW w:type="dxa" w:w="1466"/>
          </w:tcPr>
          <w:p>
            <w:pPr>
              <w:spacing w:after="0" w:line="240" w:lineRule="auto"/>
            </w:pPr>
            <w:r>
              <w:rPr>
                <w:b w:val="0"/>
                <w:i w:val="0"/>
                <w:sz w:val="15"/>
              </w:rPr>
              <w:t>0.0025</w:t>
            </w:r>
          </w:p>
        </w:tc>
        <w:tc>
          <w:tcPr>
            <w:tcW w:type="dxa" w:w="1200"/>
          </w:tcPr>
          <w:p>
            <w:pPr>
              <w:spacing w:after="0" w:line="240" w:lineRule="auto"/>
            </w:pPr>
            <w:r>
              <w:rPr>
                <w:b w:val="0"/>
                <w:i w:val="0"/>
                <w:sz w:val="15"/>
              </w:rPr>
              <w:t>138</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Default</w:t>
            </w:r>
          </w:p>
        </w:tc>
        <w:tc>
          <w:tcPr>
            <w:tcW w:type="dxa" w:w="2266"/>
          </w:tcPr>
          <w:p>
            <w:pPr>
              <w:spacing w:after="0" w:line="240" w:lineRule="auto"/>
            </w:pPr>
            <w:r>
              <w:rPr>
                <w:b w:val="0"/>
                <w:i w:val="0"/>
                <w:sz w:val="15"/>
              </w:rPr>
              <w:t>70, 49, 173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0.0071</w:t>
            </w:r>
          </w:p>
        </w:tc>
        <w:tc>
          <w:tcPr>
            <w:tcW w:type="dxa" w:w="1200"/>
          </w:tcPr>
          <w:p>
            <w:pPr>
              <w:spacing w:after="0" w:line="240" w:lineRule="auto"/>
            </w:pPr>
            <w:r>
              <w:rPr>
                <w:b w:val="0"/>
                <w:i w:val="0"/>
                <w:sz w:val="15"/>
              </w:rPr>
              <w:t>85</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α 0.01</w:t>
            </w:r>
          </w:p>
        </w:tc>
        <w:tc>
          <w:tcPr>
            <w:tcW w:type="dxa" w:w="2266"/>
          </w:tcPr>
          <w:p>
            <w:pPr>
              <w:spacing w:after="0" w:line="240" w:lineRule="auto"/>
            </w:pPr>
            <w:r>
              <w:rPr>
                <w:b w:val="0"/>
                <w:i w:val="0"/>
                <w:sz w:val="15"/>
              </w:rPr>
              <w:t>59, 44, 129</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0.0057</w:t>
            </w:r>
          </w:p>
        </w:tc>
        <w:tc>
          <w:tcPr>
            <w:tcW w:type="dxa" w:w="1200"/>
          </w:tcPr>
          <w:p>
            <w:pPr>
              <w:spacing w:after="0" w:line="240" w:lineRule="auto"/>
            </w:pPr>
            <w:r>
              <w:rPr>
                <w:b w:val="0"/>
                <w:i w:val="0"/>
                <w:sz w:val="15"/>
              </w:rPr>
              <w:t>71</w:t>
            </w:r>
          </w:p>
        </w:tc>
      </w:tr>
      <w:tr>
        <w:tc>
          <w:tcPr>
            <w:tcW w:type="dxa" w:w="1466"/>
          </w:tcPr>
          <w:p>
            <w:pPr>
              <w:spacing w:after="0" w:line="240" w:lineRule="auto"/>
            </w:pPr>
            <w:r>
              <w:rPr>
                <w:b w:val="0"/>
                <w:i w:val="0"/>
                <w:sz w:val="15"/>
              </w:rPr>
              <w:t>N114 V</w:t>
            </w:r>
            <w:r>
              <w:rPr>
                <w:i w:val="0"/>
                <w:sz w:val="15"/>
                <w:vertAlign w:val="subscript"/>
              </w:rPr>
              <w:t>H</w:t>
            </w:r>
          </w:p>
        </w:tc>
        <w:tc>
          <w:tcPr>
            <w:tcW w:type="dxa" w:w="1733"/>
          </w:tcPr>
          <w:p>
            <w:pPr>
              <w:spacing w:after="0" w:line="240" w:lineRule="auto"/>
            </w:pPr>
            <w:r>
              <w:rPr>
                <w:b w:val="0"/>
                <w:i w:val="0"/>
                <w:sz w:val="15"/>
              </w:rPr>
              <w:t>Noisiest decoy</w:t>
            </w:r>
          </w:p>
        </w:tc>
        <w:tc>
          <w:tcPr>
            <w:tcW w:type="dxa" w:w="2266"/>
          </w:tcPr>
          <w:p>
            <w:pPr>
              <w:spacing w:after="0" w:line="240" w:lineRule="auto"/>
            </w:pPr>
            <w:r>
              <w:rPr>
                <w:b w:val="0"/>
                <w:i w:val="0"/>
                <w:sz w:val="15"/>
              </w:rPr>
              <w:t>66, 44, 163</w:t>
            </w:r>
          </w:p>
        </w:tc>
        <w:tc>
          <w:tcPr>
            <w:tcW w:type="dxa" w:w="1733"/>
          </w:tcPr>
          <w:p>
            <w:pPr>
              <w:spacing w:after="0" w:line="240" w:lineRule="auto"/>
            </w:pPr>
            <w:r>
              <w:rPr>
                <w:b w:val="0"/>
                <w:i w:val="0"/>
                <w:sz w:val="15"/>
              </w:rPr>
              <w:t>1, 0, 0</w:t>
            </w:r>
          </w:p>
        </w:tc>
        <w:tc>
          <w:tcPr>
            <w:tcW w:type="dxa" w:w="1466"/>
          </w:tcPr>
          <w:p>
            <w:pPr>
              <w:spacing w:after="0" w:line="240" w:lineRule="auto"/>
            </w:pPr>
            <w:r>
              <w:rPr>
                <w:b w:val="0"/>
                <w:i w:val="0"/>
                <w:sz w:val="15"/>
              </w:rPr>
              <w:t>0.0078</w:t>
            </w:r>
          </w:p>
        </w:tc>
        <w:tc>
          <w:tcPr>
            <w:tcW w:type="dxa" w:w="1200"/>
          </w:tcPr>
          <w:p>
            <w:pPr>
              <w:spacing w:after="0" w:line="240" w:lineRule="auto"/>
            </w:pPr>
            <w:r>
              <w:rPr>
                <w:b w:val="0"/>
                <w:i w:val="0"/>
                <w:sz w:val="15"/>
              </w:rPr>
              <w:t>79</w:t>
            </w:r>
          </w:p>
        </w:tc>
      </w:tr>
    </w:tbl>
    <w:p>
      <w:pPr>
        <w:keepLines/>
        <w:spacing w:after="80" w:line="240" w:lineRule="auto"/>
      </w:pPr>
      <w:r>
        <w:rPr>
          <w:b w:val="0"/>
          <w:i w:val="0"/>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i w:val="0"/>
          <w:sz w:val="17"/>
          <w:vertAlign w:val="subscript"/>
        </w:rPr>
        <w:t>H</w:t>
      </w:r>
      <w:r>
        <w:rPr>
          <w:b w:val="0"/>
          <w:i w:val="0"/>
          <w:sz w:val="17"/>
        </w:rPr>
        <w:t>4 libraries, 3 per scenario. FDR is the observed false-discovery proportion; in null libraries every call is false. Projects: the J</w:t>
      </w:r>
      <w:r>
        <w:rPr>
          <w:i w:val="0"/>
          <w:sz w:val="17"/>
          <w:vertAlign w:val="subscript"/>
        </w:rPr>
        <w:t>H</w:t>
      </w:r>
      <w:r>
        <w:rPr>
          <w:b w:val="0"/>
          <w:i w:val="0"/>
          <w:sz w:val="17"/>
        </w:rPr>
        <w:t>4 and N114 V</w:t>
      </w:r>
      <w:r>
        <w:rPr>
          <w:i w:val="0"/>
          <w:sz w:val="17"/>
          <w:vertAlign w:val="subscript"/>
        </w:rPr>
        <w:t>H</w:t>
      </w:r>
      <w:r>
        <w:rPr>
          <w:b w:val="0"/>
          <w:i w:val="0"/>
          <w:sz w:val="17"/>
        </w:rPr>
        <w:t xml:space="preserve"> analyses of </w:t>
      </w:r>
      <w:hyperlink w:anchor="fig_4" w:history="1">
        <w:r>
          <w:rPr>
            <w:b w:val="0"/>
            <w:i w:val="0"/>
            <w:color w:val="1F5FA8"/>
            <w:sz w:val="17"/>
          </w:rPr>
          <w:t>Figures 4</w:t>
        </w:r>
      </w:hyperlink>
      <w:r>
        <w:rPr>
          <w:b w:val="0"/>
          <w:i w:val="0"/>
          <w:sz w:val="17"/>
        </w:rPr>
        <w:t xml:space="preserve"> and </w:t>
      </w:r>
      <w:hyperlink w:anchor="fig_5" w:history="1">
        <w:r>
          <w:rPr>
            <w:b w:val="0"/>
            <w:i w:val="0"/>
            <w:color w:val="1F5FA8"/>
            <w:sz w:val="17"/>
          </w:rPr>
          <w:t>5</w:t>
        </w:r>
      </w:hyperlink>
      <w:r>
        <w:rPr>
          <w:b w:val="0"/>
          <w:i w:val="0"/>
          <w:sz w:val="17"/>
        </w:rPr>
        <w:t xml:space="preserve"> at 500 reads; calls per mutation-bearing and per control library, log-Welch p and geometric fold for unique density, Wt or pMX-</w:t>
      </w:r>
      <w:r>
        <w:rPr>
          <w:i/>
          <w:sz w:val="17"/>
        </w:rPr>
        <w:t>Aicda</w:t>
      </w:r>
      <w:r>
        <w:rPr>
          <w:b w:val="0"/>
          <w:i w:val="0"/>
          <w:sz w:val="17"/>
        </w:rPr>
        <w:t xml:space="preserve"> against the AID-null controls. crm/strict_sensitivity.py.</w:t>
      </w:r>
    </w:p>
    <w:p>
      <w:pPr>
        <w:keepNext/>
        <w:spacing w:before="240"/>
      </w:pPr>
      <w:r>
        <w:rPr>
          <w:b/>
          <w:i w:val="0"/>
          <w:sz w:val="26"/>
        </w:rPr>
        <w:t>References</w:t>
      </w:r>
    </w:p>
    <w:p>
      <w:pPr>
        <w:keepLines/>
        <w:spacing w:line="276" w:lineRule="auto"/>
        <w:ind w:left="397" w:hanging="397"/>
      </w:pPr>
      <w:bookmarkStart w:id="39" w:name="ref_1"/>
      <w:bookmarkEnd w:id="39"/>
      <w:r>
        <w:rPr>
          <w:b w:val="0"/>
          <w:i w:val="0"/>
          <w:sz w:val="20"/>
        </w:rPr>
        <w:t>1.</w:t>
        <w:tab/>
        <w:t>Muramatsu, M., Kinoshita, K., Fagarasan, S., Yamada, S., Shinkai, Y., and Honjo, T. (2000). Class switch recombination and hypermutation require activation-induced cytidine deaminase (AID), a potential RNA editing enzyme. Cell 102, 553–563. 10.1016/s0092-8674(00)00078-7.</w:t>
      </w:r>
    </w:p>
    <w:p>
      <w:pPr>
        <w:keepLines/>
        <w:spacing w:line="276" w:lineRule="auto"/>
        <w:ind w:left="397" w:hanging="397"/>
      </w:pPr>
      <w:bookmarkStart w:id="40" w:name="ref_2"/>
      <w:bookmarkEnd w:id="40"/>
      <w:r>
        <w:rPr>
          <w:b w:val="0"/>
          <w:i w:val="0"/>
          <w:sz w:val="20"/>
        </w:rPr>
        <w:t>2.</w:t>
        <w:tab/>
        <w:t>Di Noia, J.M., and Neuberger, M.S. (2007). Molecular mechanisms of antibody somatic hypermutation. Annu. Rev. Biochem. 76, 1–22. 10.1146/annurev.biochem.76.061705.090740.</w:t>
      </w:r>
    </w:p>
    <w:p>
      <w:pPr>
        <w:keepLines/>
        <w:spacing w:line="276" w:lineRule="auto"/>
        <w:ind w:left="397" w:hanging="397"/>
      </w:pPr>
      <w:bookmarkStart w:id="41" w:name="ref_3"/>
      <w:bookmarkEnd w:id="41"/>
      <w:r>
        <w:rPr>
          <w:b w:val="0"/>
          <w:i w:val="0"/>
          <w:sz w:val="20"/>
        </w:rPr>
        <w:t>3.</w:t>
        <w:tab/>
        <w:t>Methot, S.P., and Di Noia, J.M. (2017). Molecular Mechanisms of Somatic Hypermutation and Class Switch Recombination. Adv. Immunol. 133, 37–87. 10.1016/bs.ai.2016.11.002.</w:t>
      </w:r>
    </w:p>
    <w:p>
      <w:pPr>
        <w:keepLines/>
        <w:spacing w:line="276" w:lineRule="auto"/>
        <w:ind w:left="397" w:hanging="397"/>
      </w:pPr>
      <w:bookmarkStart w:id="42" w:name="ref_4"/>
      <w:bookmarkEnd w:id="42"/>
      <w:r>
        <w:rPr>
          <w:b w:val="0"/>
          <w:i w:val="0"/>
          <w:sz w:val="20"/>
        </w:rPr>
        <w:t>4.</w:t>
        <w:tab/>
        <w:t>Di Noia, J., and Neuberger, M.S. (2002). Altering the pathway of immunoglobulin hypermutation by inhibiting uracil-DNA glycosylase. Nature 419, 43–48. 10.1038/nature00981.</w:t>
      </w:r>
    </w:p>
    <w:p>
      <w:pPr>
        <w:keepLines/>
        <w:spacing w:line="276" w:lineRule="auto"/>
        <w:ind w:left="397" w:hanging="397"/>
      </w:pPr>
      <w:bookmarkStart w:id="43" w:name="ref_5"/>
      <w:bookmarkEnd w:id="43"/>
      <w:r>
        <w:rPr>
          <w:b w:val="0"/>
          <w:i w:val="0"/>
          <w:sz w:val="20"/>
        </w:rPr>
        <w:t>5.</w:t>
        <w:tab/>
        <w:t>Rada, C., Di Noia, J.M., and Neuberger, M.S. (2004). Mismatch recognition and uracil excision provide complementary paths to both Ig switching and the A/T-focused phase of somatic mutation. Mol. Cell 16, 163–171. 10.1016/j.molcel.2004.10.011.</w:t>
      </w:r>
    </w:p>
    <w:p>
      <w:pPr>
        <w:keepLines/>
        <w:spacing w:line="276" w:lineRule="auto"/>
        <w:ind w:left="397" w:hanging="397"/>
      </w:pPr>
      <w:bookmarkStart w:id="44" w:name="ref_6"/>
      <w:bookmarkEnd w:id="44"/>
      <w:r>
        <w:rPr>
          <w:b w:val="0"/>
          <w:i w:val="0"/>
          <w:sz w:val="20"/>
        </w:rPr>
        <w:t>6.</w:t>
        <w:tab/>
        <w:t>Rada, C., Williams, G.T., Nilsen, H., Barnes, D.E., Lindahl, T., and Neuberger, M.S. (2002). Immunoglobulin isotype switching is inhibited and somatic hypermutation perturbed in UNG-deficient mice. Curr. Biol. 12, 1748–1755. 10.1016/s0960-9822(02)01215-0.</w:t>
      </w:r>
    </w:p>
    <w:p>
      <w:pPr>
        <w:keepLines/>
        <w:spacing w:line="276" w:lineRule="auto"/>
        <w:ind w:left="397" w:hanging="397"/>
      </w:pPr>
      <w:bookmarkStart w:id="45" w:name="ref_7"/>
      <w:bookmarkEnd w:id="45"/>
      <w:r>
        <w:rPr>
          <w:b w:val="0"/>
          <w:i w:val="0"/>
          <w:sz w:val="20"/>
        </w:rPr>
        <w:t>7.</w:t>
        <w:tab/>
        <w:t>Zeng, X., Winter, D.B., Kasmer, C., Kraemer, K.H., Lehmann, A.R., and Gearhart, P.J. (2001). DNA polymerase eta is an A-T mutator in somatic hypermutation of immunoglobulin variable genes. Nat. Immunol. 2, 537–541. 10.1038/88740.</w:t>
      </w:r>
    </w:p>
    <w:p>
      <w:pPr>
        <w:keepLines/>
        <w:spacing w:line="276" w:lineRule="auto"/>
        <w:ind w:left="397" w:hanging="397"/>
      </w:pPr>
      <w:bookmarkStart w:id="46" w:name="ref_8"/>
      <w:bookmarkEnd w:id="46"/>
      <w:r>
        <w:rPr>
          <w:b w:val="0"/>
          <w:i w:val="0"/>
          <w:sz w:val="20"/>
        </w:rPr>
        <w:t>8.</w:t>
        <w:tab/>
        <w:t>Jolly, C.J., Klix, N., and Neuberger, M.S. (1997). Rapid methods for the analysis of immunoglobulin gene hypermutation: application to transgenic and gene targeted mice. Nucleic Acids Res. 25, 1913–1919. 10.1093/nar/25.10.1913.</w:t>
      </w:r>
    </w:p>
    <w:p>
      <w:pPr>
        <w:keepLines/>
        <w:spacing w:line="276" w:lineRule="auto"/>
        <w:ind w:left="397" w:hanging="397"/>
      </w:pPr>
      <w:bookmarkStart w:id="47" w:name="ref_9"/>
      <w:bookmarkEnd w:id="47"/>
      <w:r>
        <w:rPr>
          <w:b w:val="0"/>
          <w:i w:val="0"/>
          <w:sz w:val="20"/>
        </w:rPr>
        <w:t>9.</w:t>
        <w:tab/>
        <w:t>Lebecque, S.G., and Gearhart, P.J. (1990). Boundaries of somatic mutation in rearranged immunoglobulin genes: 5' boundary is near the promoter, and 3' boundary is approximately 1 kb from V(D)J gene. J. Exp. Med. 172, 1717–1727. 10.1084/jem.172.6.1717.</w:t>
      </w:r>
    </w:p>
    <w:p>
      <w:pPr>
        <w:keepLines/>
        <w:spacing w:line="276" w:lineRule="auto"/>
        <w:ind w:left="397" w:hanging="397"/>
      </w:pPr>
      <w:bookmarkStart w:id="48" w:name="ref_10"/>
      <w:bookmarkEnd w:id="48"/>
      <w:r>
        <w:rPr>
          <w:b w:val="0"/>
          <w:i w:val="0"/>
          <w:sz w:val="20"/>
        </w:rPr>
        <w:t>10.</w:t>
        <w:tab/>
        <w:t>Sible, E., Zheng, S., Choi, J.E., and Vuong, B.Q. (2021). Analysis of Somatic Hypermutation in the JH4 intron of Germinal Center B cells from Mouse Peyer's Patches. J. Vis. Exp. 170, e61551. 10.3791/61551.</w:t>
      </w:r>
    </w:p>
    <w:p>
      <w:pPr>
        <w:keepLines/>
        <w:spacing w:line="276" w:lineRule="auto"/>
        <w:ind w:left="397" w:hanging="397"/>
      </w:pPr>
      <w:bookmarkStart w:id="49" w:name="ref_11"/>
      <w:bookmarkEnd w:id="49"/>
      <w:r>
        <w:rPr>
          <w:b w:val="0"/>
          <w:i w:val="0"/>
          <w:sz w:val="20"/>
        </w:rPr>
        <w:t>11.</w:t>
        <w:tab/>
        <w:t>Martin, O.A., Thomas, M., Marquet, M., Bruzeau, C., Garot, A., Brousse, M., Bender, S., Carrion, C., Choi, J.E., Vuong, B.Q., et al. (2023). The IgH Eµ-MAR regions promote UNG-dependent error-prone repair to optimize somatic hypermutation. Front. Immunol. 14, 1030813. 10.3389/fimmu.2023.1030813.</w:t>
      </w:r>
    </w:p>
    <w:p>
      <w:pPr>
        <w:keepLines/>
        <w:spacing w:line="276" w:lineRule="auto"/>
        <w:ind w:left="397" w:hanging="397"/>
      </w:pPr>
      <w:bookmarkStart w:id="50" w:name="ref_12"/>
      <w:bookmarkEnd w:id="50"/>
      <w:r>
        <w:rPr>
          <w:b w:val="0"/>
          <w:i w:val="0"/>
          <w:sz w:val="20"/>
        </w:rPr>
        <w:t>12.</w:t>
        <w:tab/>
        <w:t>Zhang, T., Li, H., Ma, S., Cao, J., Liao, H., Huang, Q., and Chen, W. (2023). The newest Oxford Nanopore R10.4.1 full-length 16S rRNA sequencing enables the accurate resolution of species-level microbial community profiling. Appl. Environ. Microbiol. 89, e0060523. 10.1128/aem.00605-23.</w:t>
      </w:r>
    </w:p>
    <w:p>
      <w:pPr>
        <w:keepLines/>
        <w:spacing w:line="276" w:lineRule="auto"/>
        <w:ind w:left="397" w:hanging="397"/>
      </w:pPr>
      <w:bookmarkStart w:id="51" w:name="ref_13"/>
      <w:bookmarkEnd w:id="51"/>
      <w:r>
        <w:rPr>
          <w:b w:val="0"/>
          <w:i w:val="0"/>
          <w:sz w:val="20"/>
        </w:rPr>
        <w:t>13.</w:t>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pPr>
        <w:keepLines/>
        <w:spacing w:line="276" w:lineRule="auto"/>
        <w:ind w:left="397" w:hanging="397"/>
      </w:pPr>
      <w:bookmarkStart w:id="52" w:name="ref_14"/>
      <w:bookmarkEnd w:id="52"/>
      <w:r>
        <w:rPr>
          <w:b w:val="0"/>
          <w:i w:val="0"/>
          <w:sz w:val="20"/>
        </w:rPr>
        <w:t>14.</w:t>
        <w:tab/>
        <w:t>Sanderson, N.D., Hopkins, K.M.V., Colpus, M., Parker, M., Lipworth, S., Crook, D., and Stoesser, N. (2024). Evaluation of the accuracy of bacterial genome reconstruction with Oxford Nanopore R10.4.1 long-read-only sequencing. Microb. Genom. 10, 001246. 10.1099/mgen.0.001246.</w:t>
      </w:r>
    </w:p>
    <w:p>
      <w:pPr>
        <w:keepLines/>
        <w:spacing w:line="276" w:lineRule="auto"/>
        <w:ind w:left="397" w:hanging="397"/>
      </w:pPr>
      <w:bookmarkStart w:id="53" w:name="ref_15"/>
      <w:bookmarkEnd w:id="53"/>
      <w:r>
        <w:rPr>
          <w:b w:val="0"/>
          <w:i w:val="0"/>
          <w:sz w:val="20"/>
        </w:rPr>
        <w:t>15.</w:t>
        <w:tab/>
        <w:t>Minervini, C.F., Cumbo, C., Redavid, I., Conserva, M.R., Orsini, P., Zagaria, A., Anelli, L., Coccaro, N., Tota, G., Impera, L., et al. (2021). Nanopore sequencing approach for immunoglobulin gene analysis in chronic lymphocytic leukemia. Sci. Rep. 11, 17668. 10.1038/s41598-021-97198-3.</w:t>
      </w:r>
    </w:p>
    <w:p>
      <w:pPr>
        <w:keepLines/>
        <w:spacing w:line="276" w:lineRule="auto"/>
        <w:ind w:left="397" w:hanging="397"/>
      </w:pPr>
      <w:bookmarkStart w:id="54" w:name="ref_16"/>
      <w:bookmarkEnd w:id="54"/>
      <w:r>
        <w:rPr>
          <w:b w:val="0"/>
          <w:i w:val="0"/>
          <w:sz w:val="20"/>
        </w:rPr>
        <w:t>16.</w:t>
        <w:tab/>
        <w:t>Subas Satish, H.P., Zeglinski, K., Uren, R.T., Nutt, S.L., Ritchie, M.E., Gouil, Q., and Kluck, R.M. (2022). NAb-seq: an accurate, rapid, and cost-effective method for antibody long-read sequencing in hybridoma cell lines and single B cells. MAbs 14, 2106621. 10.1080/19420862.2022.2106621.</w:t>
      </w:r>
    </w:p>
    <w:p>
      <w:pPr>
        <w:keepLines/>
        <w:spacing w:line="276" w:lineRule="auto"/>
        <w:ind w:left="397" w:hanging="397"/>
      </w:pPr>
      <w:bookmarkStart w:id="55" w:name="ref_17"/>
      <w:bookmarkEnd w:id="55"/>
      <w:r>
        <w:rPr>
          <w:b w:val="0"/>
          <w:i w:val="0"/>
          <w:sz w:val="20"/>
        </w:rPr>
        <w:t>17.</w:t>
        <w:tab/>
        <w:t>Delahaye, C., and Nicolas, J. (2021). Sequencing DNA with nanopores: Troubles and biases. PLoS One 16, e0257521. 10.1371/journal.pone.0257521.</w:t>
      </w:r>
    </w:p>
    <w:p>
      <w:pPr>
        <w:keepLines/>
        <w:spacing w:line="276" w:lineRule="auto"/>
        <w:ind w:left="397" w:hanging="397"/>
      </w:pPr>
      <w:bookmarkStart w:id="56" w:name="ref_18"/>
      <w:bookmarkEnd w:id="56"/>
      <w:r>
        <w:rPr>
          <w:b w:val="0"/>
          <w:i w:val="0"/>
          <w:sz w:val="20"/>
        </w:rPr>
        <w:t>18.</w:t>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pPr>
        <w:keepLines/>
        <w:spacing w:line="276" w:lineRule="auto"/>
        <w:ind w:left="397" w:hanging="397"/>
      </w:pPr>
      <w:bookmarkStart w:id="57" w:name="ref_19"/>
      <w:bookmarkEnd w:id="57"/>
      <w:r>
        <w:rPr>
          <w:b w:val="0"/>
          <w:i w:val="0"/>
          <w:sz w:val="20"/>
        </w:rPr>
        <w:t>19.</w:t>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pPr>
        <w:keepLines/>
        <w:spacing w:line="276" w:lineRule="auto"/>
        <w:ind w:left="397" w:hanging="397"/>
      </w:pPr>
      <w:bookmarkStart w:id="58" w:name="ref_20"/>
      <w:bookmarkEnd w:id="58"/>
      <w:r>
        <w:rPr>
          <w:b w:val="0"/>
          <w:i w:val="0"/>
          <w:sz w:val="20"/>
        </w:rPr>
        <w:t>20.</w:t>
        <w:tab/>
        <w:t>Lazic, S.E. (2010). The problem of pseudoreplication in neuroscientific studies: is it affecting your analysis?. BMC Neurosci. 11, 5. 10.1186/1471-2202-11-5.</w:t>
      </w:r>
    </w:p>
    <w:p>
      <w:pPr>
        <w:keepLines/>
        <w:spacing w:line="276" w:lineRule="auto"/>
        <w:ind w:left="397" w:hanging="397"/>
      </w:pPr>
      <w:bookmarkStart w:id="59" w:name="ref_21"/>
      <w:bookmarkEnd w:id="59"/>
      <w:r>
        <w:rPr>
          <w:b w:val="0"/>
          <w:i w:val="0"/>
          <w:sz w:val="20"/>
        </w:rPr>
        <w:t>21.</w:t>
        <w:tab/>
        <w:t>Maccarthy, T., Roa, S., Scharff, M.D., and Bergman, A. (2009). SHMTool: a webserver for comparative analysis of somatic hypermutation datasets. DNA Repair (Amst) 8, 137–141. 10.1016/j.dnarep.2008.09.006.</w:t>
      </w:r>
    </w:p>
    <w:p>
      <w:pPr>
        <w:keepLines/>
        <w:spacing w:line="276" w:lineRule="auto"/>
        <w:ind w:left="397" w:hanging="397"/>
      </w:pPr>
      <w:bookmarkStart w:id="60" w:name="ref_22"/>
      <w:bookmarkEnd w:id="60"/>
      <w:r>
        <w:rPr>
          <w:b w:val="0"/>
          <w:i w:val="0"/>
          <w:sz w:val="20"/>
        </w:rPr>
        <w:t>22.</w:t>
        <w:tab/>
        <w:t>Gupta, N.T., Vander Heiden, J.A., Uduman, M., Gadala-Maria, D., Yaari, G., and Kleinstein, S.H. (2015). Change-O: a toolkit for analyzing large-scale B cell immunoglobulin repertoire sequencing data. Bioinformatics 31, 3356–3358. 10.1093/bioinformatics/btv359.</w:t>
      </w:r>
    </w:p>
    <w:p>
      <w:pPr>
        <w:keepLines/>
        <w:spacing w:line="276" w:lineRule="auto"/>
        <w:ind w:left="397" w:hanging="397"/>
      </w:pPr>
      <w:bookmarkStart w:id="61" w:name="ref_23"/>
      <w:bookmarkEnd w:id="61"/>
      <w:r>
        <w:rPr>
          <w:b w:val="0"/>
          <w:i w:val="0"/>
          <w:sz w:val="20"/>
        </w:rPr>
        <w:t>23.</w:t>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pPr>
        <w:keepLines/>
        <w:spacing w:line="276" w:lineRule="auto"/>
        <w:ind w:left="397" w:hanging="397"/>
      </w:pPr>
      <w:bookmarkStart w:id="62" w:name="ref_24"/>
      <w:bookmarkEnd w:id="62"/>
      <w:r>
        <w:rPr>
          <w:b w:val="0"/>
          <w:i w:val="0"/>
          <w:sz w:val="20"/>
        </w:rPr>
        <w:t>24.</w:t>
        <w:tab/>
        <w:t>Zheng, Z., Chen, L., Su, J., Yu, X., He, M., Lee, Y.-L., Lam, T.-W., and Luo, R. (2026). ClairS: a deep-learning method for long-read tumor–normal pair somatic small variant calling. Nat. Methods 23, 1507–1520. 10.1038/s41592-026-03152-4.</w:t>
      </w:r>
    </w:p>
    <w:p>
      <w:pPr>
        <w:keepLines/>
        <w:spacing w:line="276" w:lineRule="auto"/>
        <w:ind w:left="397" w:hanging="397"/>
      </w:pPr>
      <w:bookmarkStart w:id="63" w:name="ref_25"/>
      <w:bookmarkEnd w:id="63"/>
      <w:r>
        <w:rPr>
          <w:b w:val="0"/>
          <w:i w:val="0"/>
          <w:sz w:val="20"/>
        </w:rPr>
        <w:t>25.</w:t>
        <w:tab/>
        <w:t>Park, J., Cook, D.E., Chang, P.-C., Kolesnikov, A., Brambrink, L., Mier, J.C., Gardner, J., McNulty, B., Sacco, S., Keskus, A.G., et al. (2026). Accurate somatic small variant discovery for multiple sequencing technologies with DeepSomatic. Nat. Biotechnol. 44, 1569–1578. 10.1038/s41587-025-02839-x.</w:t>
      </w:r>
    </w:p>
    <w:p>
      <w:pPr>
        <w:keepLines/>
        <w:spacing w:line="276" w:lineRule="auto"/>
        <w:ind w:left="397" w:hanging="397"/>
      </w:pPr>
      <w:bookmarkStart w:id="64" w:name="ref_26"/>
      <w:bookmarkEnd w:id="64"/>
      <w:r>
        <w:rPr>
          <w:b w:val="0"/>
          <w:i w:val="0"/>
          <w:sz w:val="20"/>
        </w:rPr>
        <w:t>26.</w:t>
        <w:tab/>
        <w:t>Zheng, Z., Li, S., Su, J., Leung, A.W.-S., Lam, T.-W., and Luo, R. (2022). Symphonizing pileup and full-alignment for deep learning-based long-read variant calling. Nat. Comput. Sci. 2, 797–803. 10.1038/s43588-022-00387-x.</w:t>
      </w:r>
    </w:p>
    <w:p>
      <w:pPr>
        <w:keepLines/>
        <w:spacing w:line="276" w:lineRule="auto"/>
        <w:ind w:left="397" w:hanging="397"/>
      </w:pPr>
      <w:bookmarkStart w:id="65" w:name="ref_27"/>
      <w:bookmarkEnd w:id="65"/>
      <w:r>
        <w:rPr>
          <w:b w:val="0"/>
          <w:i w:val="0"/>
          <w:sz w:val="20"/>
        </w:rPr>
        <w:t>27.</w:t>
        <w:tab/>
        <w:t>Poplin, R., Chang, P.-C., Alexander, D., Schwartz, S., Colthurst, T., Ku, A., Newburger, D., Dijamco, J., Nguyen, N., Afshar, P.T., et al. (2018). A universal SNP and small-indel variant caller using deep neural networks. Nat. Biotechnol. 36, 983–987. 10.1038/nbt.4235.</w:t>
      </w:r>
    </w:p>
    <w:p>
      <w:pPr>
        <w:keepLines/>
        <w:spacing w:line="276" w:lineRule="auto"/>
        <w:ind w:left="397" w:hanging="397"/>
      </w:pPr>
      <w:bookmarkStart w:id="66" w:name="ref_28"/>
      <w:bookmarkEnd w:id="66"/>
      <w:r>
        <w:rPr>
          <w:b w:val="0"/>
          <w:i w:val="0"/>
          <w:sz w:val="20"/>
        </w:rPr>
        <w:t>28.</w:t>
        <w:tab/>
        <w:t>Edgar, R.C., and Flyvbjerg, H. (2015). Error filtering, pair assembly and error correction for next-generation sequencing reads. Bioinformatics 31, 3476–3482. 10.1093/bioinformatics/btv401.</w:t>
      </w:r>
    </w:p>
    <w:p>
      <w:pPr>
        <w:keepLines/>
        <w:spacing w:line="276" w:lineRule="auto"/>
        <w:ind w:left="397" w:hanging="397"/>
      </w:pPr>
      <w:bookmarkStart w:id="67" w:name="ref_29"/>
      <w:bookmarkEnd w:id="67"/>
      <w:r>
        <w:rPr>
          <w:b w:val="0"/>
          <w:i w:val="0"/>
          <w:sz w:val="20"/>
        </w:rPr>
        <w:t>29.</w:t>
        <w:tab/>
        <w:t>Li, H. (2018). Minimap2: pairwise alignment for nucleotide sequences. Bioinformatics 34, 3094–3100. 10.1093/bioinformatics/bty191.</w:t>
      </w:r>
    </w:p>
    <w:p>
      <w:pPr>
        <w:keepLines/>
        <w:spacing w:line="276" w:lineRule="auto"/>
        <w:ind w:left="397" w:hanging="397"/>
      </w:pPr>
      <w:bookmarkStart w:id="68" w:name="ref_30"/>
      <w:bookmarkEnd w:id="68"/>
      <w:r>
        <w:rPr>
          <w:b w:val="0"/>
          <w:i w:val="0"/>
          <w:sz w:val="20"/>
        </w:rPr>
        <w:t>30.</w:t>
        <w:tab/>
        <w:t>Elias, J.E., and Gygi, S.P. (2007). Target-decoy search strategy for increased confidence in large-scale protein identifications by mass spectrometry. Nat. Methods 4, 207–214. 10.1038/nmeth1019.</w:t>
      </w:r>
    </w:p>
    <w:p>
      <w:pPr>
        <w:keepLines/>
        <w:spacing w:line="276" w:lineRule="auto"/>
        <w:ind w:left="397" w:hanging="397"/>
      </w:pPr>
      <w:bookmarkStart w:id="69" w:name="ref_31"/>
      <w:bookmarkEnd w:id="69"/>
      <w:r>
        <w:rPr>
          <w:b w:val="0"/>
          <w:i w:val="0"/>
          <w:sz w:val="20"/>
        </w:rPr>
        <w:t>31.</w:t>
        <w:tab/>
        <w:t>Ye, J., Ma, N., Madden, T.L., and Ostell, J.M. (2013). IgBLAST: an immunoglobulin variable domain sequence analysis tool. Nucleic Acids Res. 41, W34–40. 10.1093/nar/gkt382.</w:t>
      </w:r>
    </w:p>
    <w:p>
      <w:pPr>
        <w:keepLines/>
        <w:spacing w:line="276" w:lineRule="auto"/>
        <w:ind w:left="397" w:hanging="397"/>
      </w:pPr>
      <w:bookmarkStart w:id="70" w:name="ref_32"/>
      <w:bookmarkEnd w:id="70"/>
      <w:r>
        <w:rPr>
          <w:b w:val="0"/>
          <w:i w:val="0"/>
          <w:sz w:val="20"/>
        </w:rPr>
        <w:t>32.</w:t>
        <w:tab/>
        <w:t>Seija, N., Gannon, S., Häfner, K.A., Gemeinhardt, T.M., Ridani, J., Alvarez, D., Provencher, M., Subramani, P.G., Poitras, C., Piskor, E.-M., et al. (2026). Histone readers MLLT1 and MLLT3 concentrate AID to confer locus specificity. Nature. 10.1038/s41586-026-11087-1.</w:t>
      </w:r>
    </w:p>
    <w:p>
      <w:pPr>
        <w:keepLines/>
        <w:spacing w:line="276" w:lineRule="auto"/>
        <w:ind w:left="397" w:hanging="397"/>
      </w:pPr>
      <w:bookmarkStart w:id="71" w:name="ref_33"/>
      <w:bookmarkEnd w:id="71"/>
      <w:r>
        <w:rPr>
          <w:b w:val="0"/>
          <w:i w:val="0"/>
          <w:sz w:val="20"/>
        </w:rPr>
        <w:t>33.</w:t>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pPr>
        <w:keepLines/>
        <w:spacing w:line="276" w:lineRule="auto"/>
        <w:ind w:left="397" w:hanging="397"/>
      </w:pPr>
      <w:bookmarkStart w:id="72" w:name="ref_34"/>
      <w:bookmarkEnd w:id="72"/>
      <w:r>
        <w:rPr>
          <w:b w:val="0"/>
          <w:i w:val="0"/>
          <w:sz w:val="20"/>
        </w:rPr>
        <w:t>34.</w:t>
        <w:tab/>
        <w:t>Barbulescu, P., Wong, M.K., Baronian, L., Wang, P., Aderinto, A., Kneussel, M., and Martin, A. (2025). MKLN1-dependent GID4/CTLH E3 ubiquitin ligase complex assemblies are required to support B-cell antibody diversification. J. Immunol. 214, 2564–2574. 10.1093/jimmun/vkaf201.</w:t>
      </w:r>
    </w:p>
    <w:p>
      <w:pPr>
        <w:keepLines/>
        <w:spacing w:line="276" w:lineRule="auto"/>
        <w:ind w:left="397" w:hanging="397"/>
      </w:pPr>
      <w:bookmarkStart w:id="73" w:name="ref_35"/>
      <w:bookmarkEnd w:id="73"/>
      <w:r>
        <w:rPr>
          <w:b w:val="0"/>
          <w:i w:val="0"/>
          <w:sz w:val="20"/>
        </w:rPr>
        <w:t>35.</w:t>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pPr>
        <w:keepLines/>
        <w:spacing w:line="276" w:lineRule="auto"/>
        <w:ind w:left="397" w:hanging="397"/>
      </w:pPr>
      <w:bookmarkStart w:id="74" w:name="ref_36"/>
      <w:bookmarkEnd w:id="74"/>
      <w:r>
        <w:rPr>
          <w:b w:val="0"/>
          <w:i w:val="0"/>
          <w:sz w:val="20"/>
        </w:rPr>
        <w:t>36.</w:t>
        <w:tab/>
        <w:t>Sharma, R., Smolkin, R.M., Chowdhury, P., Fernandez, K.C., Kim, Y., Cols, M., Alread, W., Yen, W.F., Hu, W., Wang, Z.M., et al. (2023). Distinct metabolic requirements regulate B cell activation and germinal center responses. Nat. Immunol. 24, 1358–1369. 10.1038/s41590-023-01540-y.</w:t>
      </w:r>
    </w:p>
    <w:p>
      <w:pPr>
        <w:keepLines/>
        <w:spacing w:line="276" w:lineRule="auto"/>
        <w:ind w:left="397" w:hanging="397"/>
      </w:pPr>
      <w:bookmarkStart w:id="75" w:name="ref_37"/>
      <w:bookmarkEnd w:id="75"/>
      <w:r>
        <w:rPr>
          <w:b w:val="0"/>
          <w:i w:val="0"/>
          <w:sz w:val="20"/>
        </w:rPr>
        <w:t>37.</w:t>
        <w:tab/>
        <w:t>Wang, Y., Zhang, S., Yang, X., Hwang, J.K., Zhan, C., Lian, C., Wang, C., Gui, T., Wang, B., Xie, X., et al. (2023). Mesoscale DNA feature in antibody-coding sequence facilitates somatic hypermutation. Cell 186, 2193–2207.e19. 10.1016/j.cell.2023.03.030.</w:t>
      </w:r>
    </w:p>
    <w:p>
      <w:pPr>
        <w:keepLines/>
        <w:spacing w:line="276" w:lineRule="auto"/>
        <w:ind w:left="397" w:hanging="397"/>
      </w:pPr>
      <w:bookmarkStart w:id="76" w:name="ref_38"/>
      <w:bookmarkEnd w:id="76"/>
      <w:r>
        <w:rPr>
          <w:b w:val="0"/>
          <w:i w:val="0"/>
          <w:sz w:val="20"/>
        </w:rPr>
        <w:t>38.</w:t>
        <w:tab/>
        <w:t>Wu, L., Shukla, V., Yadavalli, A.D., Dinesh, R.K., Xu, D., Rao, A., and Schatz, D.G. (2022). HMCES protects immunoglobulin genes specifically from deletions during somatic hypermutation. Genes Dev. 36, 433–450. 10.1101/gad.349438.122.</w:t>
      </w:r>
    </w:p>
    <w:p>
      <w:pPr>
        <w:keepLines/>
        <w:spacing w:line="276" w:lineRule="auto"/>
        <w:ind w:left="397" w:hanging="397"/>
      </w:pPr>
      <w:bookmarkStart w:id="77" w:name="ref_39"/>
      <w:bookmarkEnd w:id="77"/>
      <w:r>
        <w:rPr>
          <w:b w:val="0"/>
          <w:i w:val="0"/>
          <w:sz w:val="20"/>
        </w:rPr>
        <w:t>39.</w:t>
        <w:tab/>
        <w:t>Pérez-Durán, P., Belver, L., de Yébenes, V.G., Delgado, P., Pisano, D.G., and Ramiro, A.R. (2012). UNG shapes the specificity of AID-induced somatic hypermutation. J. Exp. Med. 209, 1379–1389. 10.1084/jem.20112253.</w:t>
      </w:r>
    </w:p>
    <w:p>
      <w:pPr>
        <w:keepLines/>
        <w:spacing w:line="276" w:lineRule="auto"/>
        <w:ind w:left="397" w:hanging="397"/>
      </w:pPr>
      <w:bookmarkStart w:id="78" w:name="ref_40"/>
      <w:bookmarkEnd w:id="78"/>
      <w:r>
        <w:rPr>
          <w:b w:val="0"/>
          <w:i w:val="0"/>
          <w:sz w:val="20"/>
        </w:rPr>
        <w:t>40.</w:t>
        <w:tab/>
        <w:t>Liu, L.D., Huang, M., Dai, P., Liu, T., Fan, S., Cheng, X., Zhao, Y., Yeap, L.S., and Meng, F.L. (2018). Intrinsic Nucleotide Preference of Diversifying Base Editors Guides Antibody Ex Vivo Affinity Maturation. Cell Rep. 25, 884–892.e3. 10.1016/j.celrep.2018.09.090.</w:t>
      </w:r>
    </w:p>
    <w:p>
      <w:pPr>
        <w:keepLines/>
        <w:spacing w:line="276" w:lineRule="auto"/>
        <w:ind w:left="397" w:hanging="397"/>
      </w:pPr>
      <w:bookmarkStart w:id="79" w:name="ref_41"/>
      <w:bookmarkEnd w:id="79"/>
      <w:r>
        <w:rPr>
          <w:b w:val="0"/>
          <w:i w:val="0"/>
          <w:sz w:val="20"/>
        </w:rPr>
        <w:t>41.</w:t>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pPr>
        <w:keepLines/>
        <w:spacing w:line="276" w:lineRule="auto"/>
        <w:ind w:left="397" w:hanging="397"/>
      </w:pPr>
      <w:bookmarkStart w:id="80" w:name="ref_42"/>
      <w:bookmarkEnd w:id="80"/>
      <w:r>
        <w:rPr>
          <w:b w:val="0"/>
          <w:i w:val="0"/>
          <w:sz w:val="20"/>
        </w:rPr>
        <w:t>42.</w:t>
        <w:tab/>
        <w:t>Compagno, M., Wang, Q., Pighi, C., Cheong, T.C., Meng, F.L., Poggio, T., Yeap, L.S., Karaca, E., Blasco, R.B., Langellotto, F., et al. (2017). Phosphatidylinositol 3-kinase δ blockade increases genomic instability in B cells. Nature 542, 489–493. 10.1038/nature21406.</w:t>
      </w:r>
    </w:p>
    <w:p>
      <w:pPr>
        <w:keepLines/>
        <w:spacing w:line="276" w:lineRule="auto"/>
        <w:ind w:left="397" w:hanging="397"/>
      </w:pPr>
      <w:bookmarkStart w:id="81" w:name="ref_43"/>
      <w:bookmarkEnd w:id="81"/>
      <w:r>
        <w:rPr>
          <w:b w:val="0"/>
          <w:i w:val="0"/>
          <w:sz w:val="20"/>
        </w:rPr>
        <w:t>43.</w:t>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pPr>
        <w:keepLines/>
        <w:spacing w:line="276" w:lineRule="auto"/>
        <w:ind w:left="397" w:hanging="397"/>
      </w:pPr>
      <w:bookmarkStart w:id="82" w:name="ref_44"/>
      <w:bookmarkEnd w:id="82"/>
      <w:r>
        <w:rPr>
          <w:b w:val="0"/>
          <w:i w:val="0"/>
          <w:sz w:val="20"/>
        </w:rPr>
        <w:t>44.</w:t>
        <w:tab/>
        <w:t>Karst, S.M., Ziels, R.M., Kirkegaard, R.H., Sørensen, E.A., McDonald, D., Zhu, Q., Knight, R., and Albertsen, M. (2021). High-accuracy long-read amplicon sequences using unique molecular identifiers with Nanopore or PacBio sequencing. Nat. Methods 18, 165–169. 10.1038/s41592-020-01041-y.</w:t>
      </w:r>
    </w:p>
    <w:p>
      <w:pPr>
        <w:keepLines/>
        <w:spacing w:line="276" w:lineRule="auto"/>
        <w:ind w:left="397" w:hanging="397"/>
      </w:pPr>
      <w:bookmarkStart w:id="83" w:name="ref_45"/>
      <w:bookmarkEnd w:id="83"/>
      <w:r>
        <w:rPr>
          <w:b w:val="0"/>
          <w:i w:val="0"/>
          <w:sz w:val="20"/>
        </w:rPr>
        <w:t>45.</w:t>
        <w:tab/>
        <w:t>Martin, A., Bardwell, P.D., Woo, C.J., Fan, M., Shulman, M.J., and Scharff, M.D. (2002). Activation-induced cytidine deaminase turns on somatic hypermutation in hybridomas. Nature 415, 802–806. 10.1038/nature714.</w:t>
      </w:r>
    </w:p>
    <w:p>
      <w:pPr>
        <w:keepLines/>
        <w:spacing w:line="276" w:lineRule="auto"/>
        <w:ind w:left="397" w:hanging="397"/>
      </w:pPr>
      <w:bookmarkStart w:id="84" w:name="ref_46"/>
      <w:bookmarkEnd w:id="84"/>
      <w:r>
        <w:rPr>
          <w:b w:val="0"/>
          <w:i w:val="0"/>
          <w:sz w:val="20"/>
        </w:rPr>
        <w:t>46.</w:t>
        <w:tab/>
        <w:t>Feng, Y., Li, C., Stewart, J.A., Barbulescu, P., Seija Desivo, N., Álvarez-Quilón, A., Pezo, R.C., Perera, M.L.W., Chan, K., Tong, A.H.Y., et al. (2021). FAM72A antagonizes UNG2 to promote mutagenic repair during antibody maturation. Nature 600, 324–328. 10.1038/s41586-021-04144-4.</w:t>
      </w:r>
    </w:p>
    <w:p>
      <w:pPr>
        <w:keepLines/>
        <w:spacing w:line="276" w:lineRule="auto"/>
        <w:ind w:left="397" w:hanging="397"/>
      </w:pPr>
      <w:bookmarkStart w:id="85" w:name="ref_47"/>
      <w:bookmarkEnd w:id="85"/>
      <w:r>
        <w:rPr>
          <w:b w:val="0"/>
          <w:i w:val="0"/>
          <w:sz w:val="20"/>
        </w:rPr>
        <w:t>47.</w:t>
        <w:tab/>
        <w:t>Danecek, P., Bonfield, J.K., Liddle, J., Marshall, J., Ohan, V., Pollard, M.O., Whitwham, A., Keane, T., McCarthy, S.A., Davies, R.M., et al. (2021). Twelve years of SAMtools and BCFtools. Gigascience 10, giab008. 10.1093/gigascience/giab008.</w:t>
      </w:r>
    </w:p>
    <w:p>
      <w:pPr>
        <w:keepLines/>
        <w:spacing w:line="276" w:lineRule="auto"/>
        <w:ind w:left="397" w:hanging="397"/>
      </w:pPr>
      <w:bookmarkStart w:id="86" w:name="ref_48"/>
      <w:bookmarkEnd w:id="86"/>
      <w:r>
        <w:rPr>
          <w:b w:val="0"/>
          <w:i w:val="0"/>
          <w:sz w:val="20"/>
        </w:rPr>
        <w:t>48.</w:t>
        <w:tab/>
        <w:t>Virtanen, P., Gommers, R., Oliphant, T.E., Haberland, M., Reddy, T., Cournapeau, D., Burovski, E., Peterson, P., Weckesser, W., Bright, J., et al. (2020). SciPy 1.0: fundamental algorithms for scientific computing in Python. Nat. Methods 17, 261–272. 10.1038/s41592-019-0686-2.</w:t>
      </w:r>
    </w:p>
    <w:p>
      <w:pPr>
        <w:keepLines/>
        <w:spacing w:line="276" w:lineRule="auto"/>
        <w:ind w:left="397" w:hanging="397"/>
      </w:pPr>
      <w:bookmarkStart w:id="87" w:name="ref_49"/>
      <w:bookmarkEnd w:id="87"/>
      <w:r>
        <w:rPr>
          <w:b w:val="0"/>
          <w:i w:val="0"/>
          <w:sz w:val="20"/>
        </w:rPr>
        <w:t>49.</w:t>
        <w:tab/>
        <w:t>Martin, A., and Scharff, M.D. (2002). Somatic hypermutation of the AID transgene in B and non-B cells. Proc. Natl. Acad. Sci. U. S. A. 99, 12304–12308. 10.1073/pnas.192442899.</w:t>
      </w:r>
    </w:p>
    <w:p>
      <w:pPr>
        <w:keepLines/>
        <w:spacing w:line="276" w:lineRule="auto"/>
        <w:ind w:left="397" w:hanging="397"/>
      </w:pPr>
      <w:bookmarkStart w:id="88" w:name="ref_50"/>
      <w:bookmarkEnd w:id="88"/>
      <w:r>
        <w:rPr>
          <w:b w:val="0"/>
          <w:i w:val="0"/>
          <w:sz w:val="20"/>
        </w:rPr>
        <w:t>50.</w:t>
        <w:tab/>
        <w:t>Benjamini, Y., and Hochberg, Y. (1995). Controlling the false discovery rate: a practical and powerful approach to multiple testing. J. R. Stat. Soc. Series B Stat. Methodol. 57, 289–300. 10.1111/j.2517-6161.1995.tb02031.x.</w:t>
      </w:r>
    </w:p>
    <w:p>
      <w:pPr>
        <w:keepLines/>
        <w:spacing w:line="276" w:lineRule="auto"/>
        <w:ind w:left="397" w:hanging="397"/>
      </w:pPr>
      <w:bookmarkStart w:id="89" w:name="ref_51"/>
      <w:bookmarkEnd w:id="89"/>
      <w:r>
        <w:rPr>
          <w:b w:val="0"/>
          <w:i w:val="0"/>
          <w:sz w:val="20"/>
        </w:rPr>
        <w:t>51.</w:t>
        <w:tab/>
        <w:t>Hubert, L., and Arabie, P. (1985). Comparing partitions. J. Classif. 2, 193–218. 10.1007/BF01908075.</w:t>
      </w:r>
    </w:p>
    <w:sectPr w:rsidR="00FC693F" w:rsidRPr="0006063C" w:rsidSect="00034616">
      <w:footerReference w:type="default" r:id="rId9"/>
      <w:pgSz w:w="12240" w:h="15840"/>
      <w:pgMar w:top="1440" w:right="1188" w:bottom="1440" w:left="11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SHMtrace · V2 – for Alberto review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V2 – for Alberto review</dc:title>
  <dc:subject>Complete manuscript with supplemental information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