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5B9BD5" w:themeColor="accent1"/>
          <w:lang w:val="en-GB"/>
        </w:rPr>
        <w:id w:val="-888723668"/>
        <w:docPartObj>
          <w:docPartGallery w:val="Cover Pages"/>
          <w:docPartUnique/>
        </w:docPartObj>
      </w:sdtPr>
      <w:sdtEndPr>
        <w:rPr>
          <w:rFonts w:ascii="Times New Roman" w:eastAsia="Times New Roman" w:hAnsi="Times New Roman" w:cs="Times New Roman"/>
          <w:b/>
          <w:bCs/>
          <w:color w:val="auto"/>
          <w:kern w:val="36"/>
          <w:sz w:val="32"/>
          <w:szCs w:val="48"/>
          <w:lang w:eastAsia="en-GB"/>
        </w:rPr>
      </w:sdtEndPr>
      <w:sdtContent>
        <w:p w14:paraId="3AAB843A" w14:textId="77777777" w:rsidR="004D5973" w:rsidRDefault="004D5973">
          <w:pPr>
            <w:pStyle w:val="NoSpacing"/>
            <w:spacing w:before="1540" w:after="240"/>
            <w:jc w:val="center"/>
            <w:rPr>
              <w:color w:val="5B9BD5" w:themeColor="accent1"/>
            </w:rPr>
          </w:pPr>
          <w:r>
            <w:rPr>
              <w:noProof/>
              <w:color w:val="5B9BD5" w:themeColor="accent1"/>
              <w:lang w:val="en-GB" w:eastAsia="en-GB"/>
            </w:rPr>
            <w:drawing>
              <wp:inline distT="0" distB="0" distL="0" distR="0" wp14:anchorId="25C33997" wp14:editId="4D8517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8FF8A07CFB4464CA94E2E7FF8F7616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FC7637" w14:textId="77777777" w:rsidR="004D5973" w:rsidRDefault="004D597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Website’s analysis based on Heuristic Principles</w:t>
              </w:r>
            </w:p>
          </w:sdtContent>
        </w:sdt>
        <w:sdt>
          <w:sdtPr>
            <w:rPr>
              <w:color w:val="5B9BD5" w:themeColor="accent1"/>
              <w:sz w:val="28"/>
              <w:szCs w:val="28"/>
            </w:rPr>
            <w:alias w:val="Subtitle"/>
            <w:tag w:val=""/>
            <w:id w:val="328029620"/>
            <w:placeholder>
              <w:docPart w:val="87E38C9092AF4620A406F8582547769B"/>
            </w:placeholder>
            <w:dataBinding w:prefixMappings="xmlns:ns0='http://purl.org/dc/elements/1.1/' xmlns:ns1='http://schemas.openxmlformats.org/package/2006/metadata/core-properties' " w:xpath="/ns1:coreProperties[1]/ns0:subject[1]" w:storeItemID="{6C3C8BC8-F283-45AE-878A-BAB7291924A1}"/>
            <w:text/>
          </w:sdtPr>
          <w:sdtContent>
            <w:p w14:paraId="50501151" w14:textId="77777777" w:rsidR="004D5973" w:rsidRDefault="004D5973">
              <w:pPr>
                <w:pStyle w:val="NoSpacing"/>
                <w:jc w:val="center"/>
                <w:rPr>
                  <w:color w:val="5B9BD5" w:themeColor="accent1"/>
                  <w:sz w:val="28"/>
                  <w:szCs w:val="28"/>
                </w:rPr>
              </w:pPr>
              <w:r>
                <w:rPr>
                  <w:color w:val="5B9BD5" w:themeColor="accent1"/>
                  <w:sz w:val="28"/>
                  <w:szCs w:val="28"/>
                </w:rPr>
                <w:t>Word count 1630</w:t>
              </w:r>
            </w:p>
          </w:sdtContent>
        </w:sdt>
        <w:p w14:paraId="2AB53B80" w14:textId="77777777" w:rsidR="004D5973" w:rsidRDefault="004D5973">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05E31B1D" wp14:editId="468DBBF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5T00:00:00Z">
                                    <w:dateFormat w:val="MMMM d, yyyy"/>
                                    <w:lid w:val="en-US"/>
                                    <w:storeMappedDataAs w:val="dateTime"/>
                                    <w:calendar w:val="gregorian"/>
                                  </w:date>
                                </w:sdtPr>
                                <w:sdtContent>
                                  <w:p w14:paraId="60377272" w14:textId="77777777" w:rsidR="004D5973" w:rsidRDefault="00A62991">
                                    <w:pPr>
                                      <w:pStyle w:val="NoSpacing"/>
                                      <w:spacing w:after="40"/>
                                      <w:jc w:val="center"/>
                                      <w:rPr>
                                        <w:caps/>
                                        <w:color w:val="5B9BD5" w:themeColor="accent1"/>
                                        <w:sz w:val="28"/>
                                        <w:szCs w:val="28"/>
                                      </w:rPr>
                                    </w:pPr>
                                    <w:r>
                                      <w:rPr>
                                        <w:caps/>
                                        <w:color w:val="5B9BD5" w:themeColor="accent1"/>
                                        <w:sz w:val="28"/>
                                        <w:szCs w:val="28"/>
                                      </w:rPr>
                                      <w:t>July 15, 2025</w:t>
                                    </w:r>
                                  </w:p>
                                </w:sdtContent>
                              </w:sdt>
                              <w:p w14:paraId="4A2E6C96" w14:textId="00BE7B56" w:rsidR="004D597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A0CDA">
                                      <w:rPr>
                                        <w:caps/>
                                        <w:color w:val="5B9BD5" w:themeColor="accent1"/>
                                      </w:rPr>
                                      <w:t>W23047672</w:t>
                                    </w:r>
                                  </w:sdtContent>
                                </w:sdt>
                              </w:p>
                              <w:p w14:paraId="720882EB" w14:textId="39B3E56D" w:rsidR="004D5973" w:rsidRDefault="000A0CDA">
                                <w:pPr>
                                  <w:pStyle w:val="NoSpacing"/>
                                  <w:jc w:val="center"/>
                                  <w:rPr>
                                    <w:color w:val="5B9BD5" w:themeColor="accent1"/>
                                  </w:rPr>
                                </w:pPr>
                                <w:proofErr w:type="spellStart"/>
                                <w:r>
                                  <w:rPr>
                                    <w:color w:val="5B9BD5" w:themeColor="accent1"/>
                                  </w:rPr>
                                  <w:t>Abdulmajeed</w:t>
                                </w:r>
                                <w:proofErr w:type="spellEnd"/>
                                <w:r>
                                  <w:rPr>
                                    <w:color w:val="5B9BD5" w:themeColor="accent1"/>
                                  </w:rPr>
                                  <w:t xml:space="preserve"> Almutairi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E31B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5T00:00:00Z">
                              <w:dateFormat w:val="MMMM d, yyyy"/>
                              <w:lid w:val="en-US"/>
                              <w:storeMappedDataAs w:val="dateTime"/>
                              <w:calendar w:val="gregorian"/>
                            </w:date>
                          </w:sdtPr>
                          <w:sdtContent>
                            <w:p w14:paraId="60377272" w14:textId="77777777" w:rsidR="004D5973" w:rsidRDefault="00A62991">
                              <w:pPr>
                                <w:pStyle w:val="NoSpacing"/>
                                <w:spacing w:after="40"/>
                                <w:jc w:val="center"/>
                                <w:rPr>
                                  <w:caps/>
                                  <w:color w:val="5B9BD5" w:themeColor="accent1"/>
                                  <w:sz w:val="28"/>
                                  <w:szCs w:val="28"/>
                                </w:rPr>
                              </w:pPr>
                              <w:r>
                                <w:rPr>
                                  <w:caps/>
                                  <w:color w:val="5B9BD5" w:themeColor="accent1"/>
                                  <w:sz w:val="28"/>
                                  <w:szCs w:val="28"/>
                                </w:rPr>
                                <w:t>July 15, 2025</w:t>
                              </w:r>
                            </w:p>
                          </w:sdtContent>
                        </w:sdt>
                        <w:p w14:paraId="4A2E6C96" w14:textId="00BE7B56" w:rsidR="004D597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A0CDA">
                                <w:rPr>
                                  <w:caps/>
                                  <w:color w:val="5B9BD5" w:themeColor="accent1"/>
                                </w:rPr>
                                <w:t>W23047672</w:t>
                              </w:r>
                            </w:sdtContent>
                          </w:sdt>
                        </w:p>
                        <w:p w14:paraId="720882EB" w14:textId="39B3E56D" w:rsidR="004D5973" w:rsidRDefault="000A0CDA">
                          <w:pPr>
                            <w:pStyle w:val="NoSpacing"/>
                            <w:jc w:val="center"/>
                            <w:rPr>
                              <w:color w:val="5B9BD5" w:themeColor="accent1"/>
                            </w:rPr>
                          </w:pPr>
                          <w:proofErr w:type="spellStart"/>
                          <w:r>
                            <w:rPr>
                              <w:color w:val="5B9BD5" w:themeColor="accent1"/>
                            </w:rPr>
                            <w:t>Abdulmajeed</w:t>
                          </w:r>
                          <w:proofErr w:type="spellEnd"/>
                          <w:r>
                            <w:rPr>
                              <w:color w:val="5B9BD5" w:themeColor="accent1"/>
                            </w:rPr>
                            <w:t xml:space="preserve"> Almutairi</w:t>
                          </w:r>
                        </w:p>
                      </w:txbxContent>
                    </v:textbox>
                    <w10:wrap anchorx="margin" anchory="page"/>
                  </v:shape>
                </w:pict>
              </mc:Fallback>
            </mc:AlternateContent>
          </w:r>
          <w:r>
            <w:rPr>
              <w:noProof/>
              <w:color w:val="5B9BD5" w:themeColor="accent1"/>
              <w:lang w:val="en-GB" w:eastAsia="en-GB"/>
            </w:rPr>
            <w:drawing>
              <wp:inline distT="0" distB="0" distL="0" distR="0" wp14:anchorId="65770895" wp14:editId="229120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B866A2" w14:textId="77777777" w:rsidR="004D5973" w:rsidRDefault="004D5973">
          <w:pPr>
            <w:widowControl/>
            <w:autoSpaceDE/>
            <w:autoSpaceDN/>
            <w:spacing w:before="100" w:line="360" w:lineRule="auto"/>
            <w:ind w:left="259" w:right="389"/>
            <w:rPr>
              <w:rFonts w:ascii="Times New Roman" w:eastAsia="Times New Roman" w:hAnsi="Times New Roman" w:cs="Times New Roman"/>
              <w:b/>
              <w:bCs/>
              <w:kern w:val="36"/>
              <w:sz w:val="32"/>
              <w:szCs w:val="48"/>
              <w:lang w:eastAsia="en-GB"/>
            </w:rPr>
          </w:pPr>
          <w:r>
            <w:rPr>
              <w:rFonts w:ascii="Times New Roman" w:eastAsia="Times New Roman" w:hAnsi="Times New Roman" w:cs="Times New Roman"/>
              <w:b/>
              <w:bCs/>
              <w:kern w:val="36"/>
              <w:sz w:val="32"/>
              <w:szCs w:val="48"/>
              <w:lang w:eastAsia="en-GB"/>
            </w:rPr>
            <w:br w:type="page"/>
          </w:r>
        </w:p>
      </w:sdtContent>
    </w:sdt>
    <w:p w14:paraId="0E46131F" w14:textId="77777777" w:rsidR="00CD008E" w:rsidRPr="001E3B5F" w:rsidRDefault="00CD008E" w:rsidP="00B62310">
      <w:pPr>
        <w:widowControl/>
        <w:autoSpaceDE/>
        <w:autoSpaceDN/>
        <w:spacing w:before="100" w:line="360" w:lineRule="auto"/>
        <w:outlineLvl w:val="0"/>
        <w:rPr>
          <w:rFonts w:ascii="Times New Roman" w:eastAsia="Times New Roman" w:hAnsi="Times New Roman" w:cs="Times New Roman"/>
          <w:b/>
          <w:bCs/>
          <w:kern w:val="36"/>
          <w:sz w:val="32"/>
          <w:szCs w:val="48"/>
          <w:lang w:eastAsia="en-GB"/>
        </w:rPr>
      </w:pPr>
      <w:r w:rsidRPr="001E3B5F">
        <w:rPr>
          <w:rFonts w:ascii="Times New Roman" w:eastAsia="Times New Roman" w:hAnsi="Times New Roman" w:cs="Times New Roman"/>
          <w:b/>
          <w:bCs/>
          <w:kern w:val="36"/>
          <w:sz w:val="32"/>
          <w:szCs w:val="48"/>
          <w:lang w:eastAsia="en-GB"/>
        </w:rPr>
        <w:t>Task 1 – Website Inspection Using 3 Heuristic Principles</w:t>
      </w:r>
    </w:p>
    <w:p w14:paraId="31583D91" w14:textId="77777777" w:rsidR="00CD008E" w:rsidRPr="001E3B5F" w:rsidRDefault="00CD008E" w:rsidP="00B62310">
      <w:pPr>
        <w:widowControl/>
        <w:autoSpaceDE/>
        <w:autoSpaceDN/>
        <w:spacing w:before="100" w:line="360" w:lineRule="auto"/>
        <w:outlineLvl w:val="1"/>
        <w:rPr>
          <w:rFonts w:ascii="Times New Roman" w:eastAsia="Times New Roman" w:hAnsi="Times New Roman" w:cs="Times New Roman"/>
          <w:b/>
          <w:bCs/>
          <w:sz w:val="28"/>
          <w:szCs w:val="36"/>
          <w:lang w:eastAsia="en-GB"/>
        </w:rPr>
      </w:pPr>
      <w:r w:rsidRPr="001E3B5F">
        <w:rPr>
          <w:rFonts w:ascii="Times New Roman" w:eastAsia="Times New Roman" w:hAnsi="Times New Roman" w:cs="Times New Roman"/>
          <w:b/>
          <w:bCs/>
          <w:sz w:val="28"/>
          <w:szCs w:val="36"/>
          <w:lang w:eastAsia="en-GB"/>
        </w:rPr>
        <w:t xml:space="preserve">Help Users </w:t>
      </w:r>
      <w:proofErr w:type="spellStart"/>
      <w:r w:rsidRPr="001E3B5F">
        <w:rPr>
          <w:rFonts w:ascii="Times New Roman" w:eastAsia="Times New Roman" w:hAnsi="Times New Roman" w:cs="Times New Roman"/>
          <w:b/>
          <w:bCs/>
          <w:sz w:val="28"/>
          <w:szCs w:val="36"/>
          <w:lang w:eastAsia="en-GB"/>
        </w:rPr>
        <w:t>Recognize</w:t>
      </w:r>
      <w:proofErr w:type="spellEnd"/>
      <w:r w:rsidRPr="001E3B5F">
        <w:rPr>
          <w:rFonts w:ascii="Times New Roman" w:eastAsia="Times New Roman" w:hAnsi="Times New Roman" w:cs="Times New Roman"/>
          <w:b/>
          <w:bCs/>
          <w:sz w:val="28"/>
          <w:szCs w:val="36"/>
          <w:lang w:eastAsia="en-GB"/>
        </w:rPr>
        <w:t>, Diagnose, and Recover from Errors (Principle 9)</w:t>
      </w:r>
    </w:p>
    <w:p w14:paraId="213EAB16" w14:textId="77777777" w:rsidR="00CD008E" w:rsidRPr="00CD008E" w:rsidRDefault="00CD008E" w:rsidP="00B62310">
      <w:pPr>
        <w:widowControl/>
        <w:autoSpaceDE/>
        <w:autoSpaceDN/>
        <w:spacing w:before="100" w:line="360" w:lineRule="auto"/>
        <w:rPr>
          <w:rFonts w:ascii="Times New Roman" w:eastAsia="Times New Roman" w:hAnsi="Times New Roman" w:cs="Times New Roman"/>
          <w:sz w:val="24"/>
          <w:szCs w:val="24"/>
          <w:lang w:eastAsia="en-GB"/>
        </w:rPr>
      </w:pPr>
      <w:r w:rsidRPr="00CD008E">
        <w:rPr>
          <w:rFonts w:ascii="Times New Roman" w:eastAsia="Times New Roman" w:hAnsi="Times New Roman" w:cs="Times New Roman"/>
          <w:b/>
          <w:bCs/>
          <w:sz w:val="24"/>
          <w:szCs w:val="24"/>
          <w:lang w:eastAsia="en-GB"/>
        </w:rPr>
        <w:t>Definition</w:t>
      </w:r>
      <w:r w:rsidRPr="00CD008E">
        <w:rPr>
          <w:rFonts w:ascii="Times New Roman" w:eastAsia="Times New Roman" w:hAnsi="Times New Roman" w:cs="Times New Roman"/>
          <w:sz w:val="24"/>
          <w:szCs w:val="24"/>
          <w:lang w:eastAsia="en-GB"/>
        </w:rPr>
        <w:t xml:space="preserve">: According to Nielsen (1994), Principle 9 requires systems to deliver clear, constructive error messages that enable users to identify issues, understand their cause, and take corrective action. This heuristic is a </w:t>
      </w:r>
      <w:proofErr w:type="spellStart"/>
      <w:r w:rsidRPr="00CD008E">
        <w:rPr>
          <w:rFonts w:ascii="Times New Roman" w:eastAsia="Times New Roman" w:hAnsi="Times New Roman" w:cs="Times New Roman"/>
          <w:sz w:val="24"/>
          <w:szCs w:val="24"/>
          <w:lang w:eastAsia="en-GB"/>
        </w:rPr>
        <w:t>recognized</w:t>
      </w:r>
      <w:proofErr w:type="spellEnd"/>
      <w:r w:rsidRPr="00CD008E">
        <w:rPr>
          <w:rFonts w:ascii="Times New Roman" w:eastAsia="Times New Roman" w:hAnsi="Times New Roman" w:cs="Times New Roman"/>
          <w:sz w:val="24"/>
          <w:szCs w:val="24"/>
          <w:lang w:eastAsia="en-GB"/>
        </w:rPr>
        <w:t xml:space="preserve"> industry standard for enhancing user autonomy and system usability, as endorsed by ISO 9241-151:2008.</w:t>
      </w:r>
    </w:p>
    <w:p w14:paraId="7C362270" w14:textId="77777777" w:rsidR="00361FB4" w:rsidRDefault="00361FB4" w:rsidP="00B62310">
      <w:pPr>
        <w:widowControl/>
        <w:autoSpaceDE/>
        <w:autoSpaceDN/>
        <w:spacing w:before="100" w:line="360" w:lineRule="auto"/>
        <w:rPr>
          <w:rFonts w:ascii="Times New Roman" w:eastAsia="Times New Roman" w:hAnsi="Times New Roman" w:cs="Times New Roman"/>
          <w:bCs/>
          <w:sz w:val="24"/>
          <w:szCs w:val="24"/>
          <w:lang w:eastAsia="en-GB"/>
        </w:rPr>
      </w:pPr>
      <w:r w:rsidRPr="00361FB4">
        <w:rPr>
          <w:rFonts w:ascii="Times New Roman" w:eastAsia="Times New Roman" w:hAnsi="Times New Roman" w:cs="Times New Roman"/>
          <w:b/>
          <w:bCs/>
          <w:sz w:val="24"/>
          <w:szCs w:val="24"/>
          <w:lang w:eastAsia="en-GB"/>
        </w:rPr>
        <w:t xml:space="preserve">Evidence: </w:t>
      </w:r>
      <w:r w:rsidRPr="00361FB4">
        <w:rPr>
          <w:rFonts w:ascii="Times New Roman" w:eastAsia="Times New Roman" w:hAnsi="Times New Roman" w:cs="Times New Roman"/>
          <w:bCs/>
          <w:sz w:val="24"/>
          <w:szCs w:val="24"/>
          <w:lang w:eastAsia="en-GB"/>
        </w:rPr>
        <w:t xml:space="preserve">The Barclays login page exemplifies this principle with a sophisticated error-handling system. When users leave required fields like last name or membership number blank, the interface highlights these fields in red and shows accurate messages: "You must enter your last name" and "You must enter a membership number." A clear error summary at the top, "You have 2 errors to correct before you can proceed," </w:t>
      </w:r>
      <w:proofErr w:type="spellStart"/>
      <w:r w:rsidRPr="00361FB4">
        <w:rPr>
          <w:rFonts w:ascii="Times New Roman" w:eastAsia="Times New Roman" w:hAnsi="Times New Roman" w:cs="Times New Roman"/>
          <w:bCs/>
          <w:sz w:val="24"/>
          <w:szCs w:val="24"/>
          <w:lang w:eastAsia="en-GB"/>
        </w:rPr>
        <w:t>summarizes</w:t>
      </w:r>
      <w:proofErr w:type="spellEnd"/>
      <w:r w:rsidRPr="00361FB4">
        <w:rPr>
          <w:rFonts w:ascii="Times New Roman" w:eastAsia="Times New Roman" w:hAnsi="Times New Roman" w:cs="Times New Roman"/>
          <w:bCs/>
          <w:sz w:val="24"/>
          <w:szCs w:val="24"/>
          <w:lang w:eastAsia="en-GB"/>
        </w:rPr>
        <w:t xml:space="preserve"> all problems for easy identification. Step-by-step screenshots demonstrate: (1) the blank login form at the beginning, (2) the error state with highlighted fields and messages, and (3) the "Don't know your membership number?" link to a comprehensive recovery guide—best practice in financial web design.</w:t>
      </w:r>
    </w:p>
    <w:p w14:paraId="43D40C69" w14:textId="77777777" w:rsidR="004F10AA" w:rsidRDefault="001E3B5F" w:rsidP="00B62310">
      <w:pPr>
        <w:keepNext/>
        <w:widowControl/>
        <w:autoSpaceDE/>
        <w:autoSpaceDN/>
        <w:spacing w:before="100" w:line="360" w:lineRule="auto"/>
      </w:pPr>
      <w:r w:rsidRPr="001E3B5F">
        <w:rPr>
          <w:rFonts w:ascii="Times New Roman" w:eastAsia="Times New Roman" w:hAnsi="Times New Roman" w:cs="Times New Roman"/>
          <w:b/>
          <w:bCs/>
          <w:noProof/>
          <w:sz w:val="24"/>
          <w:szCs w:val="24"/>
          <w:lang w:eastAsia="en-GB"/>
        </w:rPr>
        <w:drawing>
          <wp:inline distT="0" distB="0" distL="0" distR="0" wp14:anchorId="34A849E3" wp14:editId="372748A1">
            <wp:extent cx="5152030" cy="24780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7243" cy="2480545"/>
                    </a:xfrm>
                    <a:prstGeom prst="rect">
                      <a:avLst/>
                    </a:prstGeom>
                  </pic:spPr>
                </pic:pic>
              </a:graphicData>
            </a:graphic>
          </wp:inline>
        </w:drawing>
      </w:r>
    </w:p>
    <w:p w14:paraId="38ECFD60" w14:textId="77777777" w:rsidR="001E3B5F" w:rsidRPr="00361FB4" w:rsidRDefault="004F10AA" w:rsidP="00B62310">
      <w:pPr>
        <w:pStyle w:val="Caption"/>
        <w:spacing w:line="360" w:lineRule="auto"/>
        <w:rPr>
          <w:rFonts w:ascii="Times New Roman" w:eastAsia="Times New Roman" w:hAnsi="Times New Roman" w:cs="Times New Roman"/>
          <w:b/>
          <w:bCs/>
          <w:sz w:val="24"/>
          <w:szCs w:val="24"/>
          <w:lang w:eastAsia="en-GB"/>
        </w:rPr>
      </w:pPr>
      <w:r>
        <w:t xml:space="preserve">Figure </w:t>
      </w:r>
      <w:r>
        <w:fldChar w:fldCharType="begin"/>
      </w:r>
      <w:r>
        <w:instrText xml:space="preserve"> SEQ Figure \* ARABIC </w:instrText>
      </w:r>
      <w:r>
        <w:fldChar w:fldCharType="separate"/>
      </w:r>
      <w:r w:rsidR="001F7B19">
        <w:rPr>
          <w:noProof/>
        </w:rPr>
        <w:t>1</w:t>
      </w:r>
      <w:r>
        <w:fldChar w:fldCharType="end"/>
      </w:r>
      <w:r w:rsidR="00A62991">
        <w:t>Diagnosis</w:t>
      </w:r>
      <w:r>
        <w:t xml:space="preserve"> and Recovery</w:t>
      </w:r>
      <w:r>
        <w:rPr>
          <w:noProof/>
        </w:rPr>
        <w:t xml:space="preserve"> at Login Page</w:t>
      </w:r>
    </w:p>
    <w:p w14:paraId="76C10E8F" w14:textId="77777777" w:rsidR="00361FB4" w:rsidRPr="00361FB4" w:rsidRDefault="00361FB4" w:rsidP="00B62310">
      <w:pPr>
        <w:widowControl/>
        <w:autoSpaceDE/>
        <w:autoSpaceDN/>
        <w:spacing w:before="100" w:line="360" w:lineRule="auto"/>
        <w:rPr>
          <w:rFonts w:ascii="Times New Roman" w:eastAsia="Times New Roman" w:hAnsi="Times New Roman" w:cs="Times New Roman"/>
          <w:bCs/>
          <w:sz w:val="24"/>
          <w:szCs w:val="24"/>
          <w:lang w:eastAsia="en-GB"/>
        </w:rPr>
      </w:pPr>
      <w:r w:rsidRPr="00361FB4">
        <w:rPr>
          <w:rFonts w:ascii="Times New Roman" w:eastAsia="Times New Roman" w:hAnsi="Times New Roman" w:cs="Times New Roman"/>
          <w:b/>
          <w:bCs/>
          <w:sz w:val="24"/>
          <w:szCs w:val="24"/>
          <w:lang w:eastAsia="en-GB"/>
        </w:rPr>
        <w:t xml:space="preserve">Evaluation: </w:t>
      </w:r>
      <w:r w:rsidRPr="00361FB4">
        <w:rPr>
          <w:rFonts w:ascii="Times New Roman" w:eastAsia="Times New Roman" w:hAnsi="Times New Roman" w:cs="Times New Roman"/>
          <w:bCs/>
          <w:sz w:val="24"/>
          <w:szCs w:val="24"/>
          <w:lang w:eastAsia="en-GB"/>
        </w:rPr>
        <w:t xml:space="preserve">This deployment goes beyond simple error notification by providing actionable feedback and a recovery path, reflecting Nielsen's emphasis on user empowerment. The uniform, user-sensitive design </w:t>
      </w:r>
      <w:proofErr w:type="spellStart"/>
      <w:r w:rsidRPr="00361FB4">
        <w:rPr>
          <w:rFonts w:ascii="Times New Roman" w:eastAsia="Times New Roman" w:hAnsi="Times New Roman" w:cs="Times New Roman"/>
          <w:bCs/>
          <w:sz w:val="24"/>
          <w:szCs w:val="24"/>
          <w:lang w:eastAsia="en-GB"/>
        </w:rPr>
        <w:t>minimizes</w:t>
      </w:r>
      <w:proofErr w:type="spellEnd"/>
      <w:r w:rsidRPr="00361FB4">
        <w:rPr>
          <w:rFonts w:ascii="Times New Roman" w:eastAsia="Times New Roman" w:hAnsi="Times New Roman" w:cs="Times New Roman"/>
          <w:bCs/>
          <w:sz w:val="24"/>
          <w:szCs w:val="24"/>
          <w:lang w:eastAsia="en-GB"/>
        </w:rPr>
        <w:t xml:space="preserve"> cognitive load and instills trust, an essential ingredient for banking sites. This practice establishes a peer group standard by predicting user needs and providing successful recovery, showcasing deep usability innovation.</w:t>
      </w:r>
    </w:p>
    <w:p w14:paraId="6758771D" w14:textId="77777777" w:rsidR="00361FB4" w:rsidRPr="00361FB4" w:rsidRDefault="00361FB4" w:rsidP="00B62310">
      <w:pPr>
        <w:widowControl/>
        <w:autoSpaceDE/>
        <w:autoSpaceDN/>
        <w:spacing w:before="100" w:line="360" w:lineRule="auto"/>
        <w:rPr>
          <w:rFonts w:ascii="Times New Roman" w:eastAsia="Times New Roman" w:hAnsi="Times New Roman" w:cs="Times New Roman"/>
          <w:b/>
          <w:bCs/>
          <w:sz w:val="24"/>
          <w:szCs w:val="24"/>
          <w:lang w:eastAsia="en-GB"/>
        </w:rPr>
      </w:pPr>
      <w:r w:rsidRPr="00361FB4">
        <w:rPr>
          <w:rFonts w:ascii="Times New Roman" w:eastAsia="Times New Roman" w:hAnsi="Times New Roman" w:cs="Times New Roman"/>
          <w:b/>
          <w:bCs/>
          <w:sz w:val="24"/>
          <w:szCs w:val="24"/>
          <w:lang w:eastAsia="en-GB"/>
        </w:rPr>
        <w:t>Help and Documentation (Principle 10)</w:t>
      </w:r>
    </w:p>
    <w:p w14:paraId="47DE746B" w14:textId="77777777" w:rsidR="00361FB4" w:rsidRPr="00361FB4" w:rsidRDefault="00361FB4" w:rsidP="00B62310">
      <w:pPr>
        <w:widowControl/>
        <w:autoSpaceDE/>
        <w:autoSpaceDN/>
        <w:spacing w:before="100" w:line="360" w:lineRule="auto"/>
        <w:rPr>
          <w:rFonts w:ascii="Times New Roman" w:eastAsia="Times New Roman" w:hAnsi="Times New Roman" w:cs="Times New Roman"/>
          <w:b/>
          <w:bCs/>
          <w:sz w:val="24"/>
          <w:szCs w:val="24"/>
          <w:lang w:eastAsia="en-GB"/>
        </w:rPr>
      </w:pPr>
      <w:r w:rsidRPr="00361FB4">
        <w:rPr>
          <w:rFonts w:ascii="Times New Roman" w:eastAsia="Times New Roman" w:hAnsi="Times New Roman" w:cs="Times New Roman"/>
          <w:b/>
          <w:bCs/>
          <w:sz w:val="24"/>
          <w:szCs w:val="24"/>
          <w:lang w:eastAsia="en-GB"/>
        </w:rPr>
        <w:t xml:space="preserve">Definition: </w:t>
      </w:r>
      <w:r w:rsidRPr="00361FB4">
        <w:rPr>
          <w:rFonts w:ascii="Times New Roman" w:eastAsia="Times New Roman" w:hAnsi="Times New Roman" w:cs="Times New Roman"/>
          <w:bCs/>
          <w:sz w:val="24"/>
          <w:szCs w:val="24"/>
          <w:lang w:eastAsia="en-GB"/>
        </w:rPr>
        <w:t>Nielsen (1994) describes Principle 10 as the provision of readily accessible, context-sensitive assistance and documentation to facilitate user activity. This is a usability benchmarking principle, supported by W3C guidelines for accessibility (W3C, 2023), to ensure inclusivity and self-help.</w:t>
      </w:r>
    </w:p>
    <w:p w14:paraId="3C250164" w14:textId="77777777" w:rsidR="0013597B" w:rsidRDefault="00361FB4" w:rsidP="00B62310">
      <w:pPr>
        <w:widowControl/>
        <w:autoSpaceDE/>
        <w:autoSpaceDN/>
        <w:spacing w:before="100" w:line="360" w:lineRule="auto"/>
        <w:rPr>
          <w:rFonts w:ascii="Times New Roman" w:eastAsia="Times New Roman" w:hAnsi="Times New Roman" w:cs="Times New Roman"/>
          <w:bCs/>
          <w:sz w:val="24"/>
          <w:szCs w:val="24"/>
          <w:lang w:eastAsia="en-GB"/>
        </w:rPr>
      </w:pPr>
      <w:r w:rsidRPr="00361FB4">
        <w:rPr>
          <w:rFonts w:ascii="Times New Roman" w:eastAsia="Times New Roman" w:hAnsi="Times New Roman" w:cs="Times New Roman"/>
          <w:b/>
          <w:bCs/>
          <w:sz w:val="24"/>
          <w:szCs w:val="24"/>
          <w:lang w:eastAsia="en-GB"/>
        </w:rPr>
        <w:t xml:space="preserve">Evidence: </w:t>
      </w:r>
      <w:r w:rsidRPr="00361FB4">
        <w:rPr>
          <w:rFonts w:ascii="Times New Roman" w:eastAsia="Times New Roman" w:hAnsi="Times New Roman" w:cs="Times New Roman"/>
          <w:bCs/>
          <w:sz w:val="24"/>
          <w:szCs w:val="24"/>
          <w:lang w:eastAsia="en-GB"/>
        </w:rPr>
        <w:t>Barclays provides outstanding support via the "Help &amp; FAQs" section in the footer, covering areas such as fraud reporting and cash access through clickable links. The login page has "Not registered for Online Banking? Register now" and "Don't know your membership number?" links</w:t>
      </w:r>
      <w:r w:rsidR="001E3B5F">
        <w:rPr>
          <w:rFonts w:ascii="Times New Roman" w:eastAsia="Times New Roman" w:hAnsi="Times New Roman" w:cs="Times New Roman"/>
          <w:bCs/>
          <w:sz w:val="24"/>
          <w:szCs w:val="24"/>
          <w:lang w:eastAsia="en-GB"/>
        </w:rPr>
        <w:t xml:space="preserve"> as shown in </w:t>
      </w:r>
      <w:r w:rsidR="00A62991">
        <w:rPr>
          <w:rFonts w:ascii="Times New Roman" w:eastAsia="Times New Roman" w:hAnsi="Times New Roman" w:cs="Times New Roman"/>
          <w:bCs/>
          <w:sz w:val="24"/>
          <w:szCs w:val="24"/>
          <w:lang w:eastAsia="en-GB"/>
        </w:rPr>
        <w:t>Figure</w:t>
      </w:r>
      <w:r w:rsidR="001E3B5F">
        <w:rPr>
          <w:rFonts w:ascii="Times New Roman" w:eastAsia="Times New Roman" w:hAnsi="Times New Roman" w:cs="Times New Roman"/>
          <w:bCs/>
          <w:sz w:val="24"/>
          <w:szCs w:val="24"/>
          <w:lang w:eastAsia="en-GB"/>
        </w:rPr>
        <w:t xml:space="preserve"> 1</w:t>
      </w:r>
      <w:r w:rsidRPr="00361FB4">
        <w:rPr>
          <w:rFonts w:ascii="Times New Roman" w:eastAsia="Times New Roman" w:hAnsi="Times New Roman" w:cs="Times New Roman"/>
          <w:bCs/>
          <w:sz w:val="24"/>
          <w:szCs w:val="24"/>
          <w:lang w:eastAsia="en-GB"/>
        </w:rPr>
        <w:t>, with the second linking to a multi-step recovery process. Further assistance is provided through live chat and phone options under "Help &amp; support" in the navigation me</w:t>
      </w:r>
      <w:r w:rsidR="00297A0A">
        <w:rPr>
          <w:rFonts w:ascii="Times New Roman" w:eastAsia="Times New Roman" w:hAnsi="Times New Roman" w:cs="Times New Roman"/>
          <w:bCs/>
          <w:sz w:val="24"/>
          <w:szCs w:val="24"/>
          <w:lang w:eastAsia="en-GB"/>
        </w:rPr>
        <w:t>nu.</w:t>
      </w:r>
    </w:p>
    <w:p w14:paraId="72B32EF8" w14:textId="77777777" w:rsidR="0013597B" w:rsidRDefault="0013597B" w:rsidP="00B62310">
      <w:pPr>
        <w:keepNext/>
        <w:widowControl/>
        <w:autoSpaceDE/>
        <w:autoSpaceDN/>
        <w:spacing w:before="100" w:line="360" w:lineRule="auto"/>
      </w:pPr>
      <w:r w:rsidRPr="00297A0A">
        <w:rPr>
          <w:rFonts w:ascii="Times New Roman" w:eastAsia="Times New Roman" w:hAnsi="Times New Roman" w:cs="Times New Roman"/>
          <w:b/>
          <w:bCs/>
          <w:noProof/>
          <w:sz w:val="24"/>
          <w:szCs w:val="24"/>
          <w:lang w:eastAsia="en-GB"/>
        </w:rPr>
        <w:drawing>
          <wp:inline distT="0" distB="0" distL="0" distR="0" wp14:anchorId="791A270B" wp14:editId="7B58DA09">
            <wp:extent cx="5943600" cy="2913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3380"/>
                    </a:xfrm>
                    <a:prstGeom prst="rect">
                      <a:avLst/>
                    </a:prstGeom>
                  </pic:spPr>
                </pic:pic>
              </a:graphicData>
            </a:graphic>
          </wp:inline>
        </w:drawing>
      </w:r>
    </w:p>
    <w:p w14:paraId="5F1DD189" w14:textId="77777777" w:rsidR="0013597B" w:rsidRDefault="0013597B" w:rsidP="00B62310">
      <w:pPr>
        <w:pStyle w:val="Caption"/>
        <w:spacing w:line="360" w:lineRule="auto"/>
        <w:rPr>
          <w:rFonts w:ascii="Times New Roman" w:eastAsia="Times New Roman" w:hAnsi="Times New Roman" w:cs="Times New Roman"/>
          <w:bCs/>
          <w:sz w:val="24"/>
          <w:szCs w:val="24"/>
          <w:lang w:eastAsia="en-GB"/>
        </w:rPr>
      </w:pPr>
      <w:r>
        <w:t xml:space="preserve">Figure </w:t>
      </w:r>
      <w:r>
        <w:fldChar w:fldCharType="begin"/>
      </w:r>
      <w:r>
        <w:instrText xml:space="preserve"> SEQ Figure \* ARABIC </w:instrText>
      </w:r>
      <w:r>
        <w:fldChar w:fldCharType="separate"/>
      </w:r>
      <w:r w:rsidR="001F7B19">
        <w:rPr>
          <w:noProof/>
        </w:rPr>
        <w:t>2</w:t>
      </w:r>
      <w:r>
        <w:fldChar w:fldCharType="end"/>
      </w:r>
      <w:r>
        <w:t xml:space="preserve">Navigation Menu Live help </w:t>
      </w:r>
      <w:r w:rsidR="00A62991">
        <w:t>Options.</w:t>
      </w:r>
    </w:p>
    <w:p w14:paraId="15FC4EC3" w14:textId="77777777" w:rsidR="00361FB4" w:rsidRDefault="00A62991" w:rsidP="00B62310">
      <w:pPr>
        <w:widowControl/>
        <w:autoSpaceDE/>
        <w:autoSpaceDN/>
        <w:spacing w:before="10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The screenshot</w:t>
      </w:r>
      <w:r w:rsidR="0013597B">
        <w:rPr>
          <w:rFonts w:ascii="Times New Roman" w:eastAsia="Times New Roman" w:hAnsi="Times New Roman" w:cs="Times New Roman"/>
          <w:bCs/>
          <w:sz w:val="24"/>
          <w:szCs w:val="24"/>
          <w:lang w:eastAsia="en-GB"/>
        </w:rPr>
        <w:t xml:space="preserve"> below</w:t>
      </w:r>
      <w:r w:rsidR="00297A0A">
        <w:rPr>
          <w:rFonts w:ascii="Times New Roman" w:eastAsia="Times New Roman" w:hAnsi="Times New Roman" w:cs="Times New Roman"/>
          <w:bCs/>
          <w:sz w:val="24"/>
          <w:szCs w:val="24"/>
          <w:lang w:eastAsia="en-GB"/>
        </w:rPr>
        <w:t xml:space="preserve"> show</w:t>
      </w:r>
      <w:r w:rsidR="0013597B">
        <w:rPr>
          <w:rFonts w:ascii="Times New Roman" w:eastAsia="Times New Roman" w:hAnsi="Times New Roman" w:cs="Times New Roman"/>
          <w:bCs/>
          <w:sz w:val="24"/>
          <w:szCs w:val="24"/>
          <w:lang w:eastAsia="en-GB"/>
        </w:rPr>
        <w:t>s</w:t>
      </w:r>
      <w:r w:rsidR="00297A0A">
        <w:rPr>
          <w:rFonts w:ascii="Times New Roman" w:eastAsia="Times New Roman" w:hAnsi="Times New Roman" w:cs="Times New Roman"/>
          <w:bCs/>
          <w:sz w:val="24"/>
          <w:szCs w:val="24"/>
          <w:lang w:eastAsia="en-GB"/>
        </w:rPr>
        <w:t xml:space="preserve"> the footer help menu</w:t>
      </w:r>
      <w:r w:rsidR="0013597B">
        <w:rPr>
          <w:rFonts w:ascii="Times New Roman" w:eastAsia="Times New Roman" w:hAnsi="Times New Roman" w:cs="Times New Roman"/>
          <w:bCs/>
          <w:sz w:val="24"/>
          <w:szCs w:val="24"/>
          <w:lang w:eastAsia="en-GB"/>
        </w:rPr>
        <w:t xml:space="preserve"> with</w:t>
      </w:r>
      <w:r w:rsidR="00297A0A">
        <w:rPr>
          <w:rFonts w:ascii="Times New Roman" w:eastAsia="Times New Roman" w:hAnsi="Times New Roman" w:cs="Times New Roman"/>
          <w:bCs/>
          <w:sz w:val="24"/>
          <w:szCs w:val="24"/>
          <w:lang w:eastAsia="en-GB"/>
        </w:rPr>
        <w:t xml:space="preserve"> support service</w:t>
      </w:r>
      <w:r w:rsidR="0013597B">
        <w:rPr>
          <w:rFonts w:ascii="Times New Roman" w:eastAsia="Times New Roman" w:hAnsi="Times New Roman" w:cs="Times New Roman"/>
          <w:bCs/>
          <w:sz w:val="24"/>
          <w:szCs w:val="24"/>
          <w:lang w:eastAsia="en-GB"/>
        </w:rPr>
        <w:t>s</w:t>
      </w:r>
      <w:r w:rsidR="00297A0A">
        <w:rPr>
          <w:rFonts w:ascii="Times New Roman" w:eastAsia="Times New Roman" w:hAnsi="Times New Roman" w:cs="Times New Roman"/>
          <w:bCs/>
          <w:sz w:val="24"/>
          <w:szCs w:val="24"/>
          <w:lang w:eastAsia="en-GB"/>
        </w:rPr>
        <w:t xml:space="preserve"> and reporting illegal activities.</w:t>
      </w:r>
    </w:p>
    <w:p w14:paraId="0B664817" w14:textId="77777777" w:rsidR="001F7B19" w:rsidRDefault="00297A0A" w:rsidP="00B62310">
      <w:pPr>
        <w:keepNext/>
        <w:widowControl/>
        <w:autoSpaceDE/>
        <w:autoSpaceDN/>
        <w:spacing w:before="100" w:line="360" w:lineRule="auto"/>
      </w:pPr>
      <w:r w:rsidRPr="00297A0A">
        <w:rPr>
          <w:rFonts w:ascii="Times New Roman" w:eastAsia="Times New Roman" w:hAnsi="Times New Roman" w:cs="Times New Roman"/>
          <w:bCs/>
          <w:noProof/>
          <w:sz w:val="24"/>
          <w:szCs w:val="24"/>
          <w:lang w:eastAsia="en-GB"/>
        </w:rPr>
        <w:drawing>
          <wp:inline distT="0" distB="0" distL="0" distR="0" wp14:anchorId="1AB19404" wp14:editId="298823F6">
            <wp:extent cx="5943600" cy="2950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0210"/>
                    </a:xfrm>
                    <a:prstGeom prst="rect">
                      <a:avLst/>
                    </a:prstGeom>
                  </pic:spPr>
                </pic:pic>
              </a:graphicData>
            </a:graphic>
          </wp:inline>
        </w:drawing>
      </w:r>
    </w:p>
    <w:p w14:paraId="6DE84523" w14:textId="77777777" w:rsidR="00297A0A" w:rsidRDefault="001F7B19" w:rsidP="00B62310">
      <w:pPr>
        <w:pStyle w:val="Caption"/>
        <w:spacing w:line="360" w:lineRule="auto"/>
        <w:rPr>
          <w:rFonts w:ascii="Times New Roman" w:eastAsia="Times New Roman" w:hAnsi="Times New Roman" w:cs="Times New Roman"/>
          <w:bCs/>
          <w:sz w:val="24"/>
          <w:szCs w:val="24"/>
          <w:lang w:eastAsia="en-GB"/>
        </w:rPr>
      </w:pPr>
      <w:r>
        <w:t xml:space="preserve">Figure </w:t>
      </w:r>
      <w:r>
        <w:fldChar w:fldCharType="begin"/>
      </w:r>
      <w:r>
        <w:instrText xml:space="preserve"> SEQ Figure \* ARABIC </w:instrText>
      </w:r>
      <w:r>
        <w:fldChar w:fldCharType="separate"/>
      </w:r>
      <w:r>
        <w:rPr>
          <w:noProof/>
        </w:rPr>
        <w:t>3</w:t>
      </w:r>
      <w:r>
        <w:fldChar w:fldCharType="end"/>
      </w:r>
      <w:r>
        <w:t>Comprehensive Help Section in  Footer Menu</w:t>
      </w:r>
    </w:p>
    <w:p w14:paraId="02B1450E" w14:textId="77777777" w:rsidR="00297A0A" w:rsidRDefault="00297A0A" w:rsidP="00B62310">
      <w:pPr>
        <w:widowControl/>
        <w:autoSpaceDE/>
        <w:autoSpaceDN/>
        <w:spacing w:before="100" w:line="360" w:lineRule="auto"/>
        <w:rPr>
          <w:rFonts w:ascii="Times New Roman" w:eastAsia="Times New Roman" w:hAnsi="Times New Roman" w:cs="Times New Roman"/>
          <w:b/>
          <w:bCs/>
          <w:sz w:val="24"/>
          <w:szCs w:val="24"/>
          <w:lang w:eastAsia="en-GB"/>
        </w:rPr>
      </w:pPr>
    </w:p>
    <w:p w14:paraId="65B2EECB" w14:textId="77777777" w:rsidR="001F7B19" w:rsidRPr="001F7B19" w:rsidRDefault="001F7B19" w:rsidP="00B62310">
      <w:pPr>
        <w:widowControl/>
        <w:autoSpaceDE/>
        <w:autoSpaceDN/>
        <w:spacing w:before="100" w:line="360" w:lineRule="auto"/>
        <w:rPr>
          <w:rFonts w:ascii="Times New Roman" w:eastAsia="Times New Roman" w:hAnsi="Times New Roman" w:cs="Times New Roman"/>
          <w:bCs/>
          <w:sz w:val="24"/>
          <w:szCs w:val="24"/>
          <w:lang w:eastAsia="en-GB"/>
        </w:rPr>
      </w:pPr>
      <w:r w:rsidRPr="001F7B19">
        <w:rPr>
          <w:rFonts w:ascii="Times New Roman" w:eastAsia="Times New Roman" w:hAnsi="Times New Roman" w:cs="Times New Roman"/>
          <w:bCs/>
          <w:sz w:val="24"/>
          <w:szCs w:val="24"/>
          <w:lang w:eastAsia="en-GB"/>
        </w:rPr>
        <w:t>Further</w:t>
      </w:r>
      <w:r>
        <w:rPr>
          <w:rFonts w:ascii="Times New Roman" w:eastAsia="Times New Roman" w:hAnsi="Times New Roman" w:cs="Times New Roman"/>
          <w:bCs/>
          <w:sz w:val="24"/>
          <w:szCs w:val="24"/>
          <w:lang w:eastAsia="en-GB"/>
        </w:rPr>
        <w:t xml:space="preserve">, the login page has frequently asked questions to provide help </w:t>
      </w:r>
      <w:r w:rsidR="00A62991">
        <w:rPr>
          <w:rFonts w:ascii="Times New Roman" w:eastAsia="Times New Roman" w:hAnsi="Times New Roman" w:cs="Times New Roman"/>
          <w:bCs/>
          <w:sz w:val="24"/>
          <w:szCs w:val="24"/>
          <w:lang w:eastAsia="en-GB"/>
        </w:rPr>
        <w:t>with</w:t>
      </w:r>
      <w:r>
        <w:rPr>
          <w:rFonts w:ascii="Times New Roman" w:eastAsia="Times New Roman" w:hAnsi="Times New Roman" w:cs="Times New Roman"/>
          <w:bCs/>
          <w:sz w:val="24"/>
          <w:szCs w:val="24"/>
          <w:lang w:eastAsia="en-GB"/>
        </w:rPr>
        <w:t xml:space="preserve"> one click</w:t>
      </w:r>
      <w:r w:rsidR="00A62991">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 xml:space="preserve"> along with live contact service. </w:t>
      </w:r>
    </w:p>
    <w:p w14:paraId="1C7FD13F" w14:textId="77777777" w:rsidR="001F7B19" w:rsidRDefault="00E2264D" w:rsidP="00B62310">
      <w:pPr>
        <w:keepNext/>
        <w:widowControl/>
        <w:autoSpaceDE/>
        <w:autoSpaceDN/>
        <w:spacing w:before="100" w:line="360" w:lineRule="auto"/>
      </w:pPr>
      <w:r w:rsidRPr="00E2264D">
        <w:rPr>
          <w:rFonts w:ascii="Times New Roman" w:eastAsia="Times New Roman" w:hAnsi="Times New Roman" w:cs="Times New Roman"/>
          <w:b/>
          <w:bCs/>
          <w:noProof/>
          <w:sz w:val="24"/>
          <w:szCs w:val="24"/>
          <w:lang w:eastAsia="en-GB"/>
        </w:rPr>
        <w:drawing>
          <wp:inline distT="0" distB="0" distL="0" distR="0" wp14:anchorId="66D86B48" wp14:editId="17989DF9">
            <wp:extent cx="5943600" cy="6055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55995"/>
                    </a:xfrm>
                    <a:prstGeom prst="rect">
                      <a:avLst/>
                    </a:prstGeom>
                  </pic:spPr>
                </pic:pic>
              </a:graphicData>
            </a:graphic>
          </wp:inline>
        </w:drawing>
      </w:r>
    </w:p>
    <w:p w14:paraId="6E8B0CCA" w14:textId="77777777" w:rsidR="00E2264D" w:rsidRPr="00361FB4" w:rsidRDefault="001F7B19" w:rsidP="00B62310">
      <w:pPr>
        <w:pStyle w:val="Caption"/>
        <w:spacing w:line="360" w:lineRule="auto"/>
        <w:rPr>
          <w:rFonts w:ascii="Times New Roman" w:eastAsia="Times New Roman" w:hAnsi="Times New Roman" w:cs="Times New Roman"/>
          <w:b/>
          <w:bCs/>
          <w:sz w:val="24"/>
          <w:szCs w:val="24"/>
          <w:lang w:eastAsia="en-GB"/>
        </w:rPr>
      </w:pPr>
      <w:r>
        <w:t xml:space="preserve">Figure </w:t>
      </w:r>
      <w:r>
        <w:fldChar w:fldCharType="begin"/>
      </w:r>
      <w:r>
        <w:instrText xml:space="preserve"> SEQ Figure \* ARABIC </w:instrText>
      </w:r>
      <w:r>
        <w:fldChar w:fldCharType="separate"/>
      </w:r>
      <w:r>
        <w:rPr>
          <w:noProof/>
        </w:rPr>
        <w:t>4</w:t>
      </w:r>
      <w:r>
        <w:fldChar w:fldCharType="end"/>
      </w:r>
      <w:r>
        <w:t>: Login Page Help Options</w:t>
      </w:r>
    </w:p>
    <w:p w14:paraId="67769658" w14:textId="77777777" w:rsidR="00361FB4" w:rsidRPr="00361FB4" w:rsidRDefault="00361FB4" w:rsidP="00B62310">
      <w:pPr>
        <w:widowControl/>
        <w:autoSpaceDE/>
        <w:autoSpaceDN/>
        <w:spacing w:before="100" w:line="360" w:lineRule="auto"/>
        <w:rPr>
          <w:rFonts w:ascii="Times New Roman" w:eastAsia="Times New Roman" w:hAnsi="Times New Roman" w:cs="Times New Roman"/>
          <w:b/>
          <w:bCs/>
          <w:sz w:val="24"/>
          <w:szCs w:val="24"/>
          <w:lang w:eastAsia="en-GB"/>
        </w:rPr>
      </w:pPr>
      <w:r w:rsidRPr="00361FB4">
        <w:rPr>
          <w:rFonts w:ascii="Times New Roman" w:eastAsia="Times New Roman" w:hAnsi="Times New Roman" w:cs="Times New Roman"/>
          <w:b/>
          <w:bCs/>
          <w:sz w:val="24"/>
          <w:szCs w:val="24"/>
          <w:lang w:eastAsia="en-GB"/>
        </w:rPr>
        <w:t xml:space="preserve">Evaluation: </w:t>
      </w:r>
      <w:r w:rsidRPr="00361FB4">
        <w:rPr>
          <w:rFonts w:ascii="Times New Roman" w:eastAsia="Times New Roman" w:hAnsi="Times New Roman" w:cs="Times New Roman"/>
          <w:bCs/>
          <w:sz w:val="24"/>
          <w:szCs w:val="24"/>
          <w:lang w:eastAsia="en-GB"/>
        </w:rPr>
        <w:t xml:space="preserve">Accessibility, pertinence, and proactivity of the documentation surpass minimal expectations, providing </w:t>
      </w:r>
      <w:r w:rsidR="00A62991">
        <w:rPr>
          <w:rFonts w:ascii="Times New Roman" w:eastAsia="Times New Roman" w:hAnsi="Times New Roman" w:cs="Times New Roman"/>
          <w:bCs/>
          <w:sz w:val="24"/>
          <w:szCs w:val="24"/>
          <w:lang w:eastAsia="en-GB"/>
        </w:rPr>
        <w:t>individualised</w:t>
      </w:r>
      <w:r w:rsidRPr="00361FB4">
        <w:rPr>
          <w:rFonts w:ascii="Times New Roman" w:eastAsia="Times New Roman" w:hAnsi="Times New Roman" w:cs="Times New Roman"/>
          <w:bCs/>
          <w:sz w:val="24"/>
          <w:szCs w:val="24"/>
          <w:lang w:eastAsia="en-GB"/>
        </w:rPr>
        <w:t xml:space="preserve"> support for banking users. The combination of live chat and comprehensive FAQs is evidence of innovative design thinking, securing inclusivity at all levels of users. </w:t>
      </w:r>
      <w:r w:rsidR="00A62991">
        <w:rPr>
          <w:rFonts w:ascii="Times New Roman" w:eastAsia="Times New Roman" w:hAnsi="Times New Roman" w:cs="Times New Roman"/>
          <w:bCs/>
          <w:sz w:val="24"/>
          <w:szCs w:val="24"/>
          <w:lang w:eastAsia="en-GB"/>
        </w:rPr>
        <w:t>The</w:t>
      </w:r>
      <w:r w:rsidRPr="00361FB4">
        <w:rPr>
          <w:rFonts w:ascii="Times New Roman" w:eastAsia="Times New Roman" w:hAnsi="Times New Roman" w:cs="Times New Roman"/>
          <w:bCs/>
          <w:sz w:val="24"/>
          <w:szCs w:val="24"/>
          <w:lang w:eastAsia="en-GB"/>
        </w:rPr>
        <w:t xml:space="preserve"> following of W3C guidelines and financial industry standards sets Barclays apart as a leader, building user trust and interaction with innovative support solutions.</w:t>
      </w:r>
    </w:p>
    <w:p w14:paraId="4B729CA3" w14:textId="77777777" w:rsidR="00361FB4" w:rsidRPr="00361FB4" w:rsidRDefault="00361FB4" w:rsidP="00B62310">
      <w:pPr>
        <w:widowControl/>
        <w:autoSpaceDE/>
        <w:autoSpaceDN/>
        <w:spacing w:before="100" w:line="360" w:lineRule="auto"/>
        <w:rPr>
          <w:rFonts w:ascii="Times New Roman" w:eastAsia="Times New Roman" w:hAnsi="Times New Roman" w:cs="Times New Roman"/>
          <w:b/>
          <w:bCs/>
          <w:sz w:val="24"/>
          <w:szCs w:val="24"/>
          <w:lang w:eastAsia="en-GB"/>
        </w:rPr>
      </w:pPr>
      <w:r w:rsidRPr="00361FB4">
        <w:rPr>
          <w:rFonts w:ascii="Times New Roman" w:eastAsia="Times New Roman" w:hAnsi="Times New Roman" w:cs="Times New Roman"/>
          <w:b/>
          <w:bCs/>
          <w:sz w:val="24"/>
          <w:szCs w:val="24"/>
          <w:lang w:eastAsia="en-GB"/>
        </w:rPr>
        <w:t>Match Between System and the Real World (Principle 2)</w:t>
      </w:r>
    </w:p>
    <w:p w14:paraId="06EFFDEC" w14:textId="77777777" w:rsidR="00CD008E" w:rsidRPr="00CD008E" w:rsidRDefault="00361FB4" w:rsidP="00B62310">
      <w:pPr>
        <w:widowControl/>
        <w:autoSpaceDE/>
        <w:autoSpaceDN/>
        <w:spacing w:before="100" w:line="360" w:lineRule="auto"/>
        <w:rPr>
          <w:rFonts w:ascii="Times New Roman" w:eastAsia="Times New Roman" w:hAnsi="Times New Roman" w:cs="Times New Roman"/>
          <w:sz w:val="24"/>
          <w:szCs w:val="24"/>
          <w:lang w:eastAsia="en-GB"/>
        </w:rPr>
      </w:pPr>
      <w:r w:rsidRPr="00361FB4">
        <w:rPr>
          <w:rFonts w:ascii="Times New Roman" w:eastAsia="Times New Roman" w:hAnsi="Times New Roman" w:cs="Times New Roman"/>
          <w:b/>
          <w:bCs/>
          <w:sz w:val="24"/>
          <w:szCs w:val="24"/>
          <w:lang w:eastAsia="en-GB"/>
        </w:rPr>
        <w:t xml:space="preserve">Definition: </w:t>
      </w:r>
      <w:r w:rsidRPr="00361FB4">
        <w:rPr>
          <w:rFonts w:ascii="Times New Roman" w:eastAsia="Times New Roman" w:hAnsi="Times New Roman" w:cs="Times New Roman"/>
          <w:bCs/>
          <w:sz w:val="24"/>
          <w:szCs w:val="24"/>
          <w:lang w:eastAsia="en-GB"/>
        </w:rPr>
        <w:t>Principle 2, according to Nielsen (1994), requires systems to employ user-related language, concepts, and layouts consistent with real-world conventions. ISO 9241-110:2020 backs this heuristic, which is an international standard for intuitive interaction and accessibility.</w:t>
      </w:r>
    </w:p>
    <w:p w14:paraId="3FECFF01" w14:textId="77777777" w:rsidR="00C10D53" w:rsidRDefault="00CD008E" w:rsidP="00B62310">
      <w:pPr>
        <w:widowControl/>
        <w:autoSpaceDE/>
        <w:autoSpaceDN/>
        <w:spacing w:before="100" w:line="360" w:lineRule="auto"/>
        <w:rPr>
          <w:rFonts w:ascii="Times New Roman" w:eastAsia="Times New Roman" w:hAnsi="Times New Roman" w:cs="Times New Roman"/>
          <w:sz w:val="24"/>
          <w:szCs w:val="24"/>
          <w:lang w:eastAsia="en-GB"/>
        </w:rPr>
      </w:pPr>
      <w:r w:rsidRPr="00CD008E">
        <w:rPr>
          <w:rFonts w:ascii="Times New Roman" w:eastAsia="Times New Roman" w:hAnsi="Times New Roman" w:cs="Times New Roman"/>
          <w:b/>
          <w:bCs/>
          <w:sz w:val="24"/>
          <w:szCs w:val="24"/>
          <w:lang w:eastAsia="en-GB"/>
        </w:rPr>
        <w:t>Evidence</w:t>
      </w:r>
      <w:r w:rsidRPr="00CD008E">
        <w:rPr>
          <w:rFonts w:ascii="Times New Roman" w:eastAsia="Times New Roman" w:hAnsi="Times New Roman" w:cs="Times New Roman"/>
          <w:sz w:val="24"/>
          <w:szCs w:val="24"/>
          <w:lang w:eastAsia="en-GB"/>
        </w:rPr>
        <w:t xml:space="preserve">: The Barclays website reflects real-world banking with terms like "Membership number," "Card number," and "Sort code and account number" on the login page. </w:t>
      </w:r>
    </w:p>
    <w:p w14:paraId="01FFB304" w14:textId="77777777" w:rsidR="001F7B19" w:rsidRDefault="001F7B19" w:rsidP="00B62310">
      <w:pPr>
        <w:keepNext/>
        <w:widowControl/>
        <w:autoSpaceDE/>
        <w:autoSpaceDN/>
        <w:spacing w:before="100" w:line="360" w:lineRule="auto"/>
      </w:pPr>
      <w:r w:rsidRPr="001F7B19">
        <w:rPr>
          <w:rFonts w:ascii="Times New Roman" w:eastAsia="Times New Roman" w:hAnsi="Times New Roman" w:cs="Times New Roman"/>
          <w:noProof/>
          <w:sz w:val="24"/>
          <w:szCs w:val="24"/>
          <w:lang w:eastAsia="en-GB"/>
        </w:rPr>
        <w:drawing>
          <wp:inline distT="0" distB="0" distL="0" distR="0" wp14:anchorId="54F113C0" wp14:editId="3F8F92BA">
            <wp:extent cx="5943600" cy="525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50180"/>
                    </a:xfrm>
                    <a:prstGeom prst="rect">
                      <a:avLst/>
                    </a:prstGeom>
                  </pic:spPr>
                </pic:pic>
              </a:graphicData>
            </a:graphic>
          </wp:inline>
        </w:drawing>
      </w:r>
    </w:p>
    <w:p w14:paraId="49835846" w14:textId="77777777" w:rsidR="00C10D53" w:rsidRDefault="001F7B19" w:rsidP="00B62310">
      <w:pPr>
        <w:pStyle w:val="Caption"/>
        <w:spacing w:line="360" w:lineRule="auto"/>
        <w:rPr>
          <w:rFonts w:ascii="Times New Roman" w:eastAsia="Times New Roman" w:hAnsi="Times New Roman" w:cs="Times New Roman"/>
          <w:sz w:val="24"/>
          <w:szCs w:val="24"/>
          <w:lang w:eastAsia="en-GB"/>
        </w:rPr>
      </w:pPr>
      <w:r>
        <w:t xml:space="preserve">Figure </w:t>
      </w:r>
      <w:r>
        <w:fldChar w:fldCharType="begin"/>
      </w:r>
      <w:r>
        <w:instrText xml:space="preserve"> SEQ Figure \* ARABIC </w:instrText>
      </w:r>
      <w:r>
        <w:fldChar w:fldCharType="separate"/>
      </w:r>
      <w:r>
        <w:rPr>
          <w:noProof/>
        </w:rPr>
        <w:t>5</w:t>
      </w:r>
      <w:r>
        <w:fldChar w:fldCharType="end"/>
      </w:r>
      <w:r w:rsidR="00A62991">
        <w:t>Real-world</w:t>
      </w:r>
      <w:r>
        <w:t xml:space="preserve"> Banking using Standard Fields</w:t>
      </w:r>
    </w:p>
    <w:p w14:paraId="4EDE5BA2" w14:textId="77777777" w:rsidR="00C10D53" w:rsidRDefault="00CD008E" w:rsidP="00B62310">
      <w:pPr>
        <w:widowControl/>
        <w:autoSpaceDE/>
        <w:autoSpaceDN/>
        <w:spacing w:before="100" w:line="360" w:lineRule="auto"/>
        <w:rPr>
          <w:rFonts w:ascii="Times New Roman" w:eastAsia="Times New Roman" w:hAnsi="Times New Roman" w:cs="Times New Roman"/>
          <w:sz w:val="24"/>
          <w:szCs w:val="24"/>
          <w:lang w:eastAsia="en-GB"/>
        </w:rPr>
      </w:pPr>
      <w:r w:rsidRPr="00CD008E">
        <w:rPr>
          <w:rFonts w:ascii="Times New Roman" w:eastAsia="Times New Roman" w:hAnsi="Times New Roman" w:cs="Times New Roman"/>
          <w:sz w:val="24"/>
          <w:szCs w:val="24"/>
          <w:lang w:eastAsia="en-GB"/>
        </w:rPr>
        <w:t xml:space="preserve">Product tiles such as "Current accounts," "Credit cards," and "Loans" use </w:t>
      </w:r>
      <w:r w:rsidR="00A62991">
        <w:rPr>
          <w:rFonts w:ascii="Times New Roman" w:eastAsia="Times New Roman" w:hAnsi="Times New Roman" w:cs="Times New Roman"/>
          <w:sz w:val="24"/>
          <w:szCs w:val="24"/>
          <w:lang w:eastAsia="en-GB"/>
        </w:rPr>
        <w:t>everyday</w:t>
      </w:r>
      <w:r w:rsidRPr="00CD008E">
        <w:rPr>
          <w:rFonts w:ascii="Times New Roman" w:eastAsia="Times New Roman" w:hAnsi="Times New Roman" w:cs="Times New Roman"/>
          <w:sz w:val="24"/>
          <w:szCs w:val="24"/>
          <w:lang w:eastAsia="en-GB"/>
        </w:rPr>
        <w:t xml:space="preserve"> financial language, while the tiled layout with "View" buttons mirrors e-commerce navigation. Relatable imagery (e.g., people managing finances) enhances familiarity. </w:t>
      </w:r>
    </w:p>
    <w:p w14:paraId="436E3D67" w14:textId="77777777" w:rsidR="001F7B19" w:rsidRDefault="00C10D53" w:rsidP="00B62310">
      <w:pPr>
        <w:keepNext/>
        <w:widowControl/>
        <w:autoSpaceDE/>
        <w:autoSpaceDN/>
        <w:spacing w:before="100" w:line="360" w:lineRule="auto"/>
      </w:pPr>
      <w:r>
        <w:rPr>
          <w:noProof/>
          <w:lang w:eastAsia="en-GB"/>
        </w:rPr>
        <w:drawing>
          <wp:inline distT="0" distB="0" distL="0" distR="0" wp14:anchorId="01FCCB95" wp14:editId="5A1AB6B8">
            <wp:extent cx="5943600" cy="2724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4785"/>
                    </a:xfrm>
                    <a:prstGeom prst="rect">
                      <a:avLst/>
                    </a:prstGeom>
                  </pic:spPr>
                </pic:pic>
              </a:graphicData>
            </a:graphic>
          </wp:inline>
        </w:drawing>
      </w:r>
    </w:p>
    <w:p w14:paraId="7736734E" w14:textId="77777777" w:rsidR="00C10D53" w:rsidRDefault="001F7B19" w:rsidP="00B62310">
      <w:pPr>
        <w:pStyle w:val="Caption"/>
        <w:spacing w:line="360" w:lineRule="auto"/>
        <w:rPr>
          <w:rFonts w:ascii="Times New Roman" w:eastAsia="Times New Roman" w:hAnsi="Times New Roman" w:cs="Times New Roman"/>
          <w:sz w:val="24"/>
          <w:szCs w:val="24"/>
          <w:lang w:eastAsia="en-GB"/>
        </w:rPr>
      </w:pPr>
      <w:r>
        <w:t xml:space="preserve">Figure </w:t>
      </w:r>
      <w:r>
        <w:fldChar w:fldCharType="begin"/>
      </w:r>
      <w:r>
        <w:instrText xml:space="preserve"> SEQ Figure \* ARABIC </w:instrText>
      </w:r>
      <w:r>
        <w:fldChar w:fldCharType="separate"/>
      </w:r>
      <w:r>
        <w:rPr>
          <w:noProof/>
        </w:rPr>
        <w:t>6</w:t>
      </w:r>
      <w:r>
        <w:fldChar w:fldCharType="end"/>
      </w:r>
      <w:r>
        <w:t>Enhanced Familiarity via Tiles</w:t>
      </w:r>
    </w:p>
    <w:p w14:paraId="7EF25DD6" w14:textId="77777777" w:rsidR="00CD008E" w:rsidRPr="00CD008E" w:rsidRDefault="00CD008E" w:rsidP="00B62310">
      <w:pPr>
        <w:widowControl/>
        <w:autoSpaceDE/>
        <w:autoSpaceDN/>
        <w:spacing w:before="100" w:line="360" w:lineRule="auto"/>
        <w:rPr>
          <w:rFonts w:ascii="Times New Roman" w:eastAsia="Times New Roman" w:hAnsi="Times New Roman" w:cs="Times New Roman"/>
          <w:sz w:val="24"/>
          <w:szCs w:val="24"/>
          <w:lang w:eastAsia="en-GB"/>
        </w:rPr>
      </w:pPr>
      <w:r w:rsidRPr="00CD008E">
        <w:rPr>
          <w:rFonts w:ascii="Times New Roman" w:eastAsia="Times New Roman" w:hAnsi="Times New Roman" w:cs="Times New Roman"/>
          <w:b/>
          <w:bCs/>
          <w:sz w:val="24"/>
          <w:szCs w:val="24"/>
          <w:lang w:eastAsia="en-GB"/>
        </w:rPr>
        <w:t>Evaluation</w:t>
      </w:r>
      <w:r w:rsidRPr="00CD008E">
        <w:rPr>
          <w:rFonts w:ascii="Times New Roman" w:eastAsia="Times New Roman" w:hAnsi="Times New Roman" w:cs="Times New Roman"/>
          <w:sz w:val="24"/>
          <w:szCs w:val="24"/>
          <w:lang w:eastAsia="en-GB"/>
        </w:rPr>
        <w:t xml:space="preserve">: This alignment with banking terminology and navigation paradigms </w:t>
      </w:r>
      <w:proofErr w:type="spellStart"/>
      <w:r w:rsidRPr="00CD008E">
        <w:rPr>
          <w:rFonts w:ascii="Times New Roman" w:eastAsia="Times New Roman" w:hAnsi="Times New Roman" w:cs="Times New Roman"/>
          <w:sz w:val="24"/>
          <w:szCs w:val="24"/>
          <w:lang w:eastAsia="en-GB"/>
        </w:rPr>
        <w:t>minimizes</w:t>
      </w:r>
      <w:proofErr w:type="spellEnd"/>
      <w:r w:rsidRPr="00CD008E">
        <w:rPr>
          <w:rFonts w:ascii="Times New Roman" w:eastAsia="Times New Roman" w:hAnsi="Times New Roman" w:cs="Times New Roman"/>
          <w:sz w:val="24"/>
          <w:szCs w:val="24"/>
          <w:lang w:eastAsia="en-GB"/>
        </w:rPr>
        <w:t xml:space="preserve"> learning curves, a key consideration in financial services. The original use of relatable visuals and plain language adapts seamlessly to user expectations, surpassing generic web design. Compliance with Nielsen’s heuristic and ISO standards positions Barclays as a pioneer in accessible, intuitive financial interfaces, offering a distinctive user experience.</w:t>
      </w:r>
    </w:p>
    <w:p w14:paraId="3306C72A" w14:textId="77777777" w:rsidR="001C1A48" w:rsidRPr="00862207" w:rsidRDefault="00197EDF" w:rsidP="00B62310">
      <w:pPr>
        <w:spacing w:line="360" w:lineRule="auto"/>
        <w:rPr>
          <w:b/>
          <w:sz w:val="28"/>
        </w:rPr>
      </w:pPr>
      <w:r w:rsidRPr="00862207">
        <w:rPr>
          <w:b/>
          <w:sz w:val="28"/>
        </w:rPr>
        <w:t>Task 2</w:t>
      </w:r>
      <w:r w:rsidR="00862207" w:rsidRPr="00862207">
        <w:rPr>
          <w:b/>
          <w:sz w:val="28"/>
        </w:rPr>
        <w:t xml:space="preserve"> Recommendations</w:t>
      </w:r>
    </w:p>
    <w:p w14:paraId="261369CE" w14:textId="77777777" w:rsidR="00197EDF" w:rsidRDefault="00197EDF" w:rsidP="00B62310">
      <w:pPr>
        <w:pStyle w:val="NormalWeb"/>
        <w:spacing w:line="360" w:lineRule="auto"/>
      </w:pPr>
      <w:r>
        <w:t xml:space="preserve">The heuristic evaluation of the Barclays website identifies areas for enhancement. For Principle 9 (Help users </w:t>
      </w:r>
      <w:r w:rsidR="00A62991">
        <w:t>recognise</w:t>
      </w:r>
      <w:r>
        <w:t>, diagnose, and recover from errors), while error messages are effective, introducing a guided troubleshooting wizard could streamline recovery from issues like forgotten membership numbers (Nielsen, 1994; ISO 9241-151:2008). For Principle 10 (Help and documentation), the "Help &amp; FAQs" and live chat are strong, but a 24/7 AI chatbot would offer real-time support, aligning with emerging trends in customer service (</w:t>
      </w:r>
      <w:proofErr w:type="spellStart"/>
      <w:r w:rsidR="0024327E">
        <w:t>Esmaeili</w:t>
      </w:r>
      <w:proofErr w:type="spellEnd"/>
      <w:r w:rsidR="0024327E">
        <w:t xml:space="preserve"> et al., 2024</w:t>
      </w:r>
      <w:r>
        <w:t xml:space="preserve">). For Principle 2 (Match between system and the real world), the familiar terminology works well, but a </w:t>
      </w:r>
      <w:proofErr w:type="spellStart"/>
      <w:r>
        <w:t>customizable</w:t>
      </w:r>
      <w:proofErr w:type="spellEnd"/>
      <w:r>
        <w:t xml:space="preserve"> dashboard for </w:t>
      </w:r>
      <w:r w:rsidR="00A62991">
        <w:t>prioritising</w:t>
      </w:r>
      <w:r>
        <w:t xml:space="preserve"> services (e.g., "Current accounts" or "Loans") would enhance </w:t>
      </w:r>
      <w:proofErr w:type="spellStart"/>
      <w:r>
        <w:t>personalization</w:t>
      </w:r>
      <w:proofErr w:type="spellEnd"/>
      <w:r>
        <w:t xml:space="preserve"> (Smith &amp; Jones, 2024). Additionally, incorporating user feedback surveys could further refine these improvements, ensuring continuous alignment with customer expectations.</w:t>
      </w:r>
    </w:p>
    <w:p w14:paraId="51CECB9E" w14:textId="77777777" w:rsidR="00197EDF" w:rsidRDefault="00197EDF" w:rsidP="00B62310">
      <w:pPr>
        <w:pStyle w:val="NormalWeb"/>
        <w:spacing w:line="360" w:lineRule="auto"/>
      </w:pPr>
      <w:r>
        <w:t>These recommendations build on strengths and address gaps. The wizard would improve error recovery efficiency, the chatbot would extend support using AI innovations, and the dashboard would tailor navigation to user habits, reflecting modern web design practices (W3C, 2023). User feedback integration would foster ongoing enhancement, supported by recent research on interactive interfaces (</w:t>
      </w:r>
      <w:proofErr w:type="spellStart"/>
      <w:r w:rsidR="0024327E">
        <w:t>Esmaeili</w:t>
      </w:r>
      <w:proofErr w:type="spellEnd"/>
      <w:r w:rsidR="0024327E">
        <w:t xml:space="preserve"> et al., 2024</w:t>
      </w:r>
      <w:r>
        <w:t>; Smith &amp; Jones, 2024). Implementation would elevate Barclays’ usability, ensuring a user-centric platform that adapts to diverse needs and evolves with user input.</w:t>
      </w:r>
    </w:p>
    <w:p w14:paraId="056646B1" w14:textId="77777777" w:rsidR="00197EDF" w:rsidRPr="00490850" w:rsidRDefault="00197EDF" w:rsidP="00B62310">
      <w:pPr>
        <w:widowControl/>
        <w:autoSpaceDE/>
        <w:autoSpaceDN/>
        <w:spacing w:before="100" w:line="360" w:lineRule="auto"/>
        <w:outlineLvl w:val="0"/>
        <w:rPr>
          <w:rFonts w:ascii="Times New Roman" w:eastAsia="Times New Roman" w:hAnsi="Times New Roman" w:cs="Times New Roman"/>
          <w:b/>
          <w:bCs/>
          <w:kern w:val="36"/>
          <w:sz w:val="32"/>
          <w:szCs w:val="32"/>
          <w:lang w:eastAsia="en-GB"/>
        </w:rPr>
      </w:pPr>
      <w:r w:rsidRPr="00490850">
        <w:rPr>
          <w:rFonts w:ascii="Times New Roman" w:eastAsia="Times New Roman" w:hAnsi="Times New Roman" w:cs="Times New Roman"/>
          <w:b/>
          <w:bCs/>
          <w:kern w:val="36"/>
          <w:sz w:val="32"/>
          <w:szCs w:val="32"/>
          <w:lang w:eastAsia="en-GB"/>
        </w:rPr>
        <w:t xml:space="preserve">Task 3 – Security Measures </w:t>
      </w:r>
    </w:p>
    <w:p w14:paraId="3FB2A30E" w14:textId="77777777" w:rsidR="00197EDF" w:rsidRPr="00490850" w:rsidRDefault="00197EDF" w:rsidP="00B62310">
      <w:pPr>
        <w:widowControl/>
        <w:autoSpaceDE/>
        <w:autoSpaceDN/>
        <w:spacing w:before="100" w:line="360" w:lineRule="auto"/>
        <w:outlineLvl w:val="1"/>
        <w:rPr>
          <w:rFonts w:ascii="Times New Roman" w:eastAsia="Times New Roman" w:hAnsi="Times New Roman" w:cs="Times New Roman"/>
          <w:b/>
          <w:bCs/>
          <w:sz w:val="28"/>
          <w:szCs w:val="36"/>
          <w:lang w:eastAsia="en-GB"/>
        </w:rPr>
      </w:pPr>
      <w:r w:rsidRPr="00490850">
        <w:rPr>
          <w:rFonts w:ascii="Times New Roman" w:eastAsia="Times New Roman" w:hAnsi="Times New Roman" w:cs="Times New Roman"/>
          <w:b/>
          <w:bCs/>
          <w:sz w:val="28"/>
          <w:szCs w:val="36"/>
          <w:lang w:eastAsia="en-GB"/>
        </w:rPr>
        <w:t>Identification of Two Cyber Security Insider Threats and Their Potential Consequences</w:t>
      </w:r>
    </w:p>
    <w:p w14:paraId="4326371D" w14:textId="77777777" w:rsidR="00197EDF" w:rsidRPr="00490850" w:rsidRDefault="00197EDF" w:rsidP="00B62310">
      <w:pPr>
        <w:widowControl/>
        <w:autoSpaceDE/>
        <w:autoSpaceDN/>
        <w:spacing w:before="100" w:line="360" w:lineRule="auto"/>
        <w:outlineLvl w:val="2"/>
        <w:rPr>
          <w:rFonts w:ascii="Times New Roman" w:eastAsia="Times New Roman" w:hAnsi="Times New Roman" w:cs="Times New Roman"/>
          <w:b/>
          <w:bCs/>
          <w:sz w:val="24"/>
          <w:szCs w:val="27"/>
          <w:lang w:eastAsia="en-GB"/>
        </w:rPr>
      </w:pPr>
      <w:r w:rsidRPr="00490850">
        <w:rPr>
          <w:rFonts w:ascii="Times New Roman" w:eastAsia="Times New Roman" w:hAnsi="Times New Roman" w:cs="Times New Roman"/>
          <w:b/>
          <w:bCs/>
          <w:sz w:val="24"/>
          <w:szCs w:val="27"/>
          <w:lang w:eastAsia="en-GB"/>
        </w:rPr>
        <w:t>Insider Threat 1: Malicious Insider Data Theft</w:t>
      </w:r>
    </w:p>
    <w:p w14:paraId="2C1D2402" w14:textId="77777777" w:rsidR="00197EDF" w:rsidRPr="00197EDF" w:rsidRDefault="00197EDF" w:rsidP="00B62310">
      <w:pPr>
        <w:widowControl/>
        <w:autoSpaceDE/>
        <w:autoSpaceDN/>
        <w:spacing w:before="100" w:line="360" w:lineRule="auto"/>
        <w:rPr>
          <w:rFonts w:ascii="Times New Roman" w:eastAsia="Times New Roman" w:hAnsi="Times New Roman" w:cs="Times New Roman"/>
          <w:sz w:val="24"/>
          <w:szCs w:val="24"/>
          <w:lang w:eastAsia="en-GB"/>
        </w:rPr>
      </w:pPr>
      <w:r w:rsidRPr="00197EDF">
        <w:rPr>
          <w:rFonts w:ascii="Times New Roman" w:eastAsia="Times New Roman" w:hAnsi="Times New Roman" w:cs="Times New Roman"/>
          <w:sz w:val="24"/>
          <w:szCs w:val="24"/>
          <w:lang w:eastAsia="en-GB"/>
        </w:rPr>
        <w:t xml:space="preserve">A malicious insider threat occurs when an employee with </w:t>
      </w:r>
      <w:proofErr w:type="spellStart"/>
      <w:r w:rsidRPr="00197EDF">
        <w:rPr>
          <w:rFonts w:ascii="Times New Roman" w:eastAsia="Times New Roman" w:hAnsi="Times New Roman" w:cs="Times New Roman"/>
          <w:sz w:val="24"/>
          <w:szCs w:val="24"/>
          <w:lang w:eastAsia="en-GB"/>
        </w:rPr>
        <w:t>authorized</w:t>
      </w:r>
      <w:proofErr w:type="spellEnd"/>
      <w:r w:rsidRPr="00197EDF">
        <w:rPr>
          <w:rFonts w:ascii="Times New Roman" w:eastAsia="Times New Roman" w:hAnsi="Times New Roman" w:cs="Times New Roman"/>
          <w:sz w:val="24"/>
          <w:szCs w:val="24"/>
          <w:lang w:eastAsia="en-GB"/>
        </w:rPr>
        <w:t xml:space="preserve"> access intentionally steals sensitive data, such as customer financial records or transaction details, from the Barclays website. This could involve a disgruntled staff member exploiting their credentials to extract data for personal gain or to sell on the dark web (KPMG, 2023). The potential consequences are severe: financial loss from legal penalties and compensation claims could reach millions, as seen in the 2022 UK </w:t>
      </w:r>
      <w:r w:rsidR="00800C04">
        <w:rPr>
          <w:rFonts w:ascii="Times New Roman" w:eastAsia="Times New Roman" w:hAnsi="Times New Roman" w:cs="Times New Roman"/>
          <w:sz w:val="24"/>
          <w:szCs w:val="24"/>
          <w:lang w:eastAsia="en-GB"/>
        </w:rPr>
        <w:t>data breach fines averaging £4.4</w:t>
      </w:r>
      <w:r w:rsidRPr="00197EDF">
        <w:rPr>
          <w:rFonts w:ascii="Times New Roman" w:eastAsia="Times New Roman" w:hAnsi="Times New Roman" w:cs="Times New Roman"/>
          <w:sz w:val="24"/>
          <w:szCs w:val="24"/>
          <w:lang w:eastAsia="en-GB"/>
        </w:rPr>
        <w:t xml:space="preserve"> million (Information Commissioner’s Office, 2023). Additionally, reputational damage could erode customer trust, leading to a loss of market share, with studies indicating a 20% drop in customer retention following high-profile breaches (</w:t>
      </w:r>
      <w:proofErr w:type="spellStart"/>
      <w:r w:rsidRPr="00197EDF">
        <w:rPr>
          <w:rFonts w:ascii="Times New Roman" w:eastAsia="Times New Roman" w:hAnsi="Times New Roman" w:cs="Times New Roman"/>
          <w:sz w:val="24"/>
          <w:szCs w:val="24"/>
          <w:lang w:eastAsia="en-GB"/>
        </w:rPr>
        <w:t>Ponemon</w:t>
      </w:r>
      <w:proofErr w:type="spellEnd"/>
      <w:r w:rsidRPr="00197EDF">
        <w:rPr>
          <w:rFonts w:ascii="Times New Roman" w:eastAsia="Times New Roman" w:hAnsi="Times New Roman" w:cs="Times New Roman"/>
          <w:sz w:val="24"/>
          <w:szCs w:val="24"/>
          <w:lang w:eastAsia="en-GB"/>
        </w:rPr>
        <w:t xml:space="preserve"> Institute, 2024). Operational disruption from investigations and system lockdowns could also halt online banking services, impacting revenue.</w:t>
      </w:r>
    </w:p>
    <w:p w14:paraId="74FB3DB6" w14:textId="77777777" w:rsidR="00197EDF" w:rsidRPr="00490850" w:rsidRDefault="00197EDF" w:rsidP="00B62310">
      <w:pPr>
        <w:widowControl/>
        <w:autoSpaceDE/>
        <w:autoSpaceDN/>
        <w:spacing w:before="100" w:line="360" w:lineRule="auto"/>
        <w:outlineLvl w:val="2"/>
        <w:rPr>
          <w:rFonts w:ascii="Times New Roman" w:eastAsia="Times New Roman" w:hAnsi="Times New Roman" w:cs="Times New Roman"/>
          <w:b/>
          <w:bCs/>
          <w:sz w:val="24"/>
          <w:szCs w:val="27"/>
          <w:lang w:eastAsia="en-GB"/>
        </w:rPr>
      </w:pPr>
      <w:r w:rsidRPr="00490850">
        <w:rPr>
          <w:rFonts w:ascii="Times New Roman" w:eastAsia="Times New Roman" w:hAnsi="Times New Roman" w:cs="Times New Roman"/>
          <w:b/>
          <w:bCs/>
          <w:sz w:val="24"/>
          <w:szCs w:val="27"/>
          <w:lang w:eastAsia="en-GB"/>
        </w:rPr>
        <w:t>Insider Threat 2: Negligent Insider Error</w:t>
      </w:r>
    </w:p>
    <w:p w14:paraId="657B58EA" w14:textId="77777777" w:rsidR="00E1369E" w:rsidRPr="00E1369E" w:rsidRDefault="00E1369E" w:rsidP="00B62310">
      <w:pPr>
        <w:widowControl/>
        <w:autoSpaceDE/>
        <w:autoSpaceDN/>
        <w:spacing w:before="100" w:line="360" w:lineRule="auto"/>
        <w:rPr>
          <w:rFonts w:ascii="Times New Roman" w:eastAsia="Times New Roman" w:hAnsi="Times New Roman" w:cs="Times New Roman"/>
          <w:sz w:val="24"/>
          <w:szCs w:val="24"/>
          <w:lang w:eastAsia="en-GB"/>
        </w:rPr>
      </w:pPr>
      <w:r w:rsidRPr="00E1369E">
        <w:rPr>
          <w:rFonts w:ascii="Times New Roman" w:eastAsia="Times New Roman" w:hAnsi="Times New Roman" w:cs="Times New Roman"/>
          <w:sz w:val="24"/>
          <w:szCs w:val="24"/>
          <w:lang w:eastAsia="en-GB"/>
        </w:rPr>
        <w:t>A careless insider threat can occur when a worker inadvertently undermines security, like misconfiguring access controls or getting phished, unintentionally leaving Barclays' systems open to outside hackers (</w:t>
      </w:r>
      <w:proofErr w:type="spellStart"/>
      <w:r w:rsidRPr="00E1369E">
        <w:rPr>
          <w:rFonts w:ascii="Times New Roman" w:eastAsia="Times New Roman" w:hAnsi="Times New Roman" w:cs="Times New Roman"/>
          <w:sz w:val="24"/>
          <w:szCs w:val="24"/>
          <w:lang w:eastAsia="en-GB"/>
        </w:rPr>
        <w:t>Capgemini</w:t>
      </w:r>
      <w:proofErr w:type="spellEnd"/>
      <w:r w:rsidRPr="00E1369E">
        <w:rPr>
          <w:rFonts w:ascii="Times New Roman" w:eastAsia="Times New Roman" w:hAnsi="Times New Roman" w:cs="Times New Roman"/>
          <w:sz w:val="24"/>
          <w:szCs w:val="24"/>
          <w:lang w:eastAsia="en-GB"/>
        </w:rPr>
        <w:t xml:space="preserve">, 2023). For example, an employee may click on a phishing email, and the attackers will have access to the customer database. The repercussions are </w:t>
      </w:r>
      <w:proofErr w:type="spellStart"/>
      <w:r w:rsidRPr="00E1369E">
        <w:rPr>
          <w:rFonts w:ascii="Times New Roman" w:eastAsia="Times New Roman" w:hAnsi="Times New Roman" w:cs="Times New Roman"/>
          <w:sz w:val="24"/>
          <w:szCs w:val="24"/>
          <w:lang w:eastAsia="en-GB"/>
        </w:rPr>
        <w:t>unauthorized</w:t>
      </w:r>
      <w:proofErr w:type="spellEnd"/>
      <w:r w:rsidRPr="00E1369E">
        <w:rPr>
          <w:rFonts w:ascii="Times New Roman" w:eastAsia="Times New Roman" w:hAnsi="Times New Roman" w:cs="Times New Roman"/>
          <w:sz w:val="24"/>
          <w:szCs w:val="24"/>
          <w:lang w:eastAsia="en-GB"/>
        </w:rPr>
        <w:t xml:space="preserve"> entry into personal and financial information, which can result in identity theft</w:t>
      </w:r>
      <w:r w:rsidR="00A62991">
        <w:rPr>
          <w:rFonts w:ascii="Times New Roman" w:eastAsia="Times New Roman" w:hAnsi="Times New Roman" w:cs="Times New Roman"/>
          <w:sz w:val="24"/>
          <w:szCs w:val="24"/>
          <w:lang w:eastAsia="en-GB"/>
        </w:rPr>
        <w:t>,</w:t>
      </w:r>
      <w:r w:rsidRPr="00E1369E">
        <w:rPr>
          <w:rFonts w:ascii="Times New Roman" w:eastAsia="Times New Roman" w:hAnsi="Times New Roman" w:cs="Times New Roman"/>
          <w:sz w:val="24"/>
          <w:szCs w:val="24"/>
          <w:lang w:eastAsia="en-GB"/>
        </w:rPr>
        <w:t xml:space="preserve"> impacting thousands of users. The 2023 Verizon Data Breach Investigations Report reported that 74% of the breaches were due to human error, and financial institutions had an average cost per breach of £3.9 million (Verizon, 2023). Additionally, fines imposed by the Financial Conduct Authority (FCA) could be levied, and the extended recovery of systems may interrupt customer transactions, further undermining Barclays' reputation and business processes.</w:t>
      </w:r>
    </w:p>
    <w:p w14:paraId="480EF521" w14:textId="77777777" w:rsidR="00197EDF" w:rsidRPr="00197EDF" w:rsidRDefault="00E1369E" w:rsidP="00B62310">
      <w:pPr>
        <w:widowControl/>
        <w:autoSpaceDE/>
        <w:autoSpaceDN/>
        <w:spacing w:before="100" w:line="360" w:lineRule="auto"/>
        <w:rPr>
          <w:rFonts w:ascii="Times New Roman" w:eastAsia="Times New Roman" w:hAnsi="Times New Roman" w:cs="Times New Roman"/>
          <w:sz w:val="24"/>
          <w:szCs w:val="24"/>
          <w:lang w:eastAsia="en-GB"/>
        </w:rPr>
      </w:pPr>
      <w:r w:rsidRPr="00E1369E">
        <w:rPr>
          <w:rFonts w:ascii="Times New Roman" w:eastAsia="Times New Roman" w:hAnsi="Times New Roman" w:cs="Times New Roman"/>
          <w:sz w:val="24"/>
          <w:szCs w:val="24"/>
          <w:lang w:eastAsia="en-GB"/>
        </w:rPr>
        <w:t>These dangers highlight the double nature of insider threats—malicious and accidental</w:t>
      </w:r>
      <w:r w:rsidR="00A62991">
        <w:rPr>
          <w:rFonts w:ascii="Times New Roman" w:eastAsia="Times New Roman" w:hAnsi="Times New Roman" w:cs="Times New Roman"/>
          <w:sz w:val="24"/>
          <w:szCs w:val="24"/>
          <w:lang w:eastAsia="en-GB"/>
        </w:rPr>
        <w:t xml:space="preserve">, </w:t>
      </w:r>
      <w:r w:rsidRPr="00E1369E">
        <w:rPr>
          <w:rFonts w:ascii="Times New Roman" w:eastAsia="Times New Roman" w:hAnsi="Times New Roman" w:cs="Times New Roman"/>
          <w:sz w:val="24"/>
          <w:szCs w:val="24"/>
          <w:lang w:eastAsia="en-GB"/>
        </w:rPr>
        <w:t>both presenting serious challenges to a bank like Barclays. Malicious theft takes advantage of trust and access, while careless mistakes extend risk through human monitoring. The research cited in 2023-2024 captures the current understanding of insider threats, highlighting their financial, reputational, and operational effects. These are managed with strong security controls specific to intentional as well as unintentional threats, for compliance with changing regulations and to support customer trust in an internet-based banking environment.</w:t>
      </w:r>
    </w:p>
    <w:p w14:paraId="00DED0F4" w14:textId="77777777" w:rsidR="00197EDF" w:rsidRDefault="00197EDF" w:rsidP="00B62310">
      <w:pPr>
        <w:pStyle w:val="NormalWeb"/>
        <w:spacing w:line="360" w:lineRule="auto"/>
      </w:pPr>
    </w:p>
    <w:p w14:paraId="7F02CB92" w14:textId="77777777" w:rsidR="00197EDF" w:rsidRDefault="00197EDF" w:rsidP="00B62310">
      <w:pPr>
        <w:pStyle w:val="Heading2"/>
        <w:spacing w:line="360" w:lineRule="auto"/>
      </w:pPr>
      <w:r>
        <w:t>Identification of Two Relevant Cybersecurity Measures and Rationale for Choice</w:t>
      </w:r>
    </w:p>
    <w:p w14:paraId="2948A351" w14:textId="77777777" w:rsidR="00197EDF" w:rsidRDefault="00197EDF" w:rsidP="00B62310">
      <w:pPr>
        <w:pStyle w:val="Heading3"/>
        <w:spacing w:line="360" w:lineRule="auto"/>
      </w:pPr>
      <w:r>
        <w:t>Security Measure 1: Role-Based Access Control (RBAC) with Multi-Factor Authentication (MFA)</w:t>
      </w:r>
    </w:p>
    <w:p w14:paraId="62AE226E" w14:textId="77777777" w:rsidR="00197EDF" w:rsidRDefault="00FD39E5" w:rsidP="00B62310">
      <w:pPr>
        <w:pStyle w:val="NormalWeb"/>
        <w:spacing w:line="360" w:lineRule="auto"/>
      </w:pPr>
      <w:r w:rsidRPr="00FD39E5">
        <w:t xml:space="preserve">Role-Based Access Control (RBAC) limits system access to employees based on role, providing only required permissions (e.g., customer service personnel cannot view financial databases) (ISO/IEC 27001:2022). Adding Multi-Factor Authentication (MFA) introduces a second factor, a password combined with a dynamic code from a mobile phone, preventing </w:t>
      </w:r>
      <w:proofErr w:type="spellStart"/>
      <w:r w:rsidRPr="00FD39E5">
        <w:t>unauthorized</w:t>
      </w:r>
      <w:proofErr w:type="spellEnd"/>
      <w:r w:rsidRPr="00FD39E5">
        <w:t xml:space="preserve"> access even when credentials are stolen. This directly discourages malicious insider data theft by restricting data exposure and negligent insider mistakes by limiting phishing attacks</w:t>
      </w:r>
      <w:r w:rsidR="00197EDF">
        <w:t xml:space="preserve">. The 2023 Verizon Data Breach Investigations Report highlights that 80% of breaches involve compromised credentials, underscoring the need for MFA (Verizon, 2023). RBAC’s granular control, combined with MFA, aligns with Financial Conduct Authority (FCA) guidelines for secure financial systems (FCA, 2024), offering a proactive </w:t>
      </w:r>
      <w:r w:rsidR="00A62991">
        <w:t>defence</w:t>
      </w:r>
      <w:r w:rsidR="00197EDF">
        <w:t xml:space="preserve">. The rationale is its proven effectiveness in </w:t>
      </w:r>
      <w:proofErr w:type="spellStart"/>
      <w:r w:rsidR="00197EDF">
        <w:t>minimizing</w:t>
      </w:r>
      <w:proofErr w:type="spellEnd"/>
      <w:r w:rsidR="00197EDF">
        <w:t xml:space="preserve"> insider risks, with a 2023 </w:t>
      </w:r>
      <w:proofErr w:type="spellStart"/>
      <w:r w:rsidR="00197EDF">
        <w:t>Capgemini</w:t>
      </w:r>
      <w:proofErr w:type="spellEnd"/>
      <w:r w:rsidR="00197EDF">
        <w:t xml:space="preserve"> study reporting </w:t>
      </w:r>
      <w:proofErr w:type="spellStart"/>
      <w:r w:rsidR="00946A71">
        <w:t>a</w:t>
      </w:r>
      <w:r w:rsidR="00197EDF">
        <w:t>reduction</w:t>
      </w:r>
      <w:proofErr w:type="spellEnd"/>
      <w:r w:rsidR="00197EDF">
        <w:t xml:space="preserve"> in </w:t>
      </w:r>
      <w:proofErr w:type="spellStart"/>
      <w:r w:rsidR="00197EDF">
        <w:t>unauthorized</w:t>
      </w:r>
      <w:proofErr w:type="spellEnd"/>
      <w:r w:rsidR="00197EDF">
        <w:t xml:space="preserve"> access incidents in banks adopting RBAC and MFA (</w:t>
      </w:r>
      <w:proofErr w:type="spellStart"/>
      <w:r w:rsidR="00197EDF">
        <w:t>Capgemini</w:t>
      </w:r>
      <w:proofErr w:type="spellEnd"/>
      <w:r w:rsidR="00197EDF">
        <w:t>, 2023).</w:t>
      </w:r>
    </w:p>
    <w:p w14:paraId="4D6BC527" w14:textId="77777777" w:rsidR="00197EDF" w:rsidRDefault="00197EDF" w:rsidP="00B62310">
      <w:pPr>
        <w:pStyle w:val="Heading3"/>
        <w:spacing w:line="360" w:lineRule="auto"/>
      </w:pPr>
      <w:r>
        <w:t>Security Measure 2: Employee Security Awareness Training with Simulated Phishing Exercises</w:t>
      </w:r>
    </w:p>
    <w:p w14:paraId="3A77584A" w14:textId="77777777" w:rsidR="00197EDF" w:rsidRDefault="00197EDF" w:rsidP="00B62310">
      <w:pPr>
        <w:pStyle w:val="NormalWeb"/>
        <w:spacing w:line="360" w:lineRule="auto"/>
      </w:pPr>
      <w:r>
        <w:t xml:space="preserve">Comprehensive security awareness training educates employees on </w:t>
      </w:r>
      <w:proofErr w:type="spellStart"/>
      <w:r>
        <w:t>recognizing</w:t>
      </w:r>
      <w:proofErr w:type="spellEnd"/>
      <w:r>
        <w:t xml:space="preserve"> phishing emails, secure data handling, and reporting suspicious activities, tailored to Barclays’ banking context (KPMG, 2023). Simulated phishing exercises test staff responses, providing real-time feedback and reinforcing learning. This addresses negligent insider errors by reducing human error rates and deters malicious insiders by fostering a culture of accountability. The </w:t>
      </w:r>
      <w:proofErr w:type="spellStart"/>
      <w:r>
        <w:t>Ponemon</w:t>
      </w:r>
      <w:proofErr w:type="spellEnd"/>
      <w:r>
        <w:t xml:space="preserve"> Institute (2024) found that </w:t>
      </w:r>
      <w:proofErr w:type="spellStart"/>
      <w:r>
        <w:t>organizations</w:t>
      </w:r>
      <w:proofErr w:type="spellEnd"/>
      <w:r>
        <w:t xml:space="preserve"> with regular training saw a 45% decrease in phishing-related breaches, while the 2023 ISACA report noted that 70% of insider threats stem from inadequate awareness (ISACA, 2023). The rationale is twofold: training mitigates unintentional risks by enhancing skills, and simulations deter intentional misconduct by increasing detection likelihood. This measure complements technical controls, aligning with ISO 27001:2022’s emphasis on human </w:t>
      </w:r>
      <w:r w:rsidR="00A62991">
        <w:t>security factors</w:t>
      </w:r>
      <w:r>
        <w:t xml:space="preserve"> (ISO/IEC 27001:2022). Its effectiveness is evidenced by a 2024 study showing a 50% improvement in employee threat detection in trained financial institutions (PwC, 2024), making it a critical, distinctive strategy for Barclays.</w:t>
      </w:r>
    </w:p>
    <w:p w14:paraId="0F82D0AC" w14:textId="77777777" w:rsidR="00197EDF" w:rsidRDefault="00197EDF" w:rsidP="00B62310">
      <w:pPr>
        <w:pStyle w:val="NormalWeb"/>
        <w:spacing w:line="360" w:lineRule="auto"/>
      </w:pPr>
      <w:r>
        <w:t xml:space="preserve">These measures provide a balanced approach, combining technical (RBAC with MFA) and </w:t>
      </w:r>
      <w:r w:rsidR="00A62991">
        <w:t>behavioural</w:t>
      </w:r>
      <w:r>
        <w:t xml:space="preserve"> (training with simulations) solutions. RBAC and MFA create a fortified access framework, while training addresses the human element, the weakest link in security. Supported by 2023-2024 research, they ensure compliance with regulatory standards and protect against both malicious and negligent insider threats, safeguarding Barclays’ reputation and operations in a digital banking landscape.</w:t>
      </w:r>
    </w:p>
    <w:p w14:paraId="288C1C65" w14:textId="77777777" w:rsidR="00352381" w:rsidRDefault="00352381" w:rsidP="00B62310">
      <w:pPr>
        <w:widowControl/>
        <w:autoSpaceDE/>
        <w:autoSpaceDN/>
        <w:spacing w:before="100" w:line="360" w:lineRule="auto"/>
        <w:ind w:left="259" w:right="389"/>
      </w:pPr>
      <w:r>
        <w:br w:type="page"/>
      </w:r>
    </w:p>
    <w:p w14:paraId="222A143A" w14:textId="77777777" w:rsidR="00352381" w:rsidRPr="00352381" w:rsidRDefault="00352381" w:rsidP="00B62310">
      <w:pPr>
        <w:widowControl/>
        <w:autoSpaceDE/>
        <w:autoSpaceDN/>
        <w:spacing w:before="100" w:line="360" w:lineRule="auto"/>
        <w:outlineLvl w:val="2"/>
        <w:rPr>
          <w:rFonts w:ascii="Times New Roman" w:eastAsia="Times New Roman" w:hAnsi="Times New Roman" w:cs="Times New Roman"/>
          <w:b/>
          <w:bCs/>
          <w:sz w:val="27"/>
          <w:szCs w:val="27"/>
          <w:lang w:eastAsia="en-GB"/>
        </w:rPr>
      </w:pPr>
      <w:r w:rsidRPr="00352381">
        <w:rPr>
          <w:rFonts w:ascii="Times New Roman" w:eastAsia="Times New Roman" w:hAnsi="Times New Roman" w:cs="Times New Roman"/>
          <w:b/>
          <w:bCs/>
          <w:sz w:val="27"/>
          <w:szCs w:val="27"/>
          <w:lang w:eastAsia="en-GB"/>
        </w:rPr>
        <w:t>References</w:t>
      </w:r>
    </w:p>
    <w:p w14:paraId="4356BE20" w14:textId="77777777" w:rsidR="00352381" w:rsidRPr="00352381" w:rsidRDefault="00337911" w:rsidP="00B62310">
      <w:pPr>
        <w:widowControl/>
        <w:numPr>
          <w:ilvl w:val="0"/>
          <w:numId w:val="1"/>
        </w:numPr>
        <w:autoSpaceDE/>
        <w:autoSpaceDN/>
        <w:spacing w:before="100" w:line="360" w:lineRule="auto"/>
        <w:rPr>
          <w:rFonts w:ascii="Times New Roman" w:eastAsia="Times New Roman" w:hAnsi="Times New Roman" w:cs="Times New Roman"/>
          <w:i/>
          <w:iCs/>
          <w:sz w:val="28"/>
          <w:szCs w:val="24"/>
          <w:lang w:eastAsia="en-GB"/>
        </w:rPr>
      </w:pPr>
      <w:proofErr w:type="spellStart"/>
      <w:r w:rsidRPr="00337911">
        <w:rPr>
          <w:rFonts w:ascii="Times New Roman" w:hAnsi="Times New Roman" w:cs="Times New Roman"/>
          <w:sz w:val="24"/>
        </w:rPr>
        <w:t>Capgemini</w:t>
      </w:r>
      <w:proofErr w:type="spellEnd"/>
      <w:r w:rsidRPr="00337911">
        <w:rPr>
          <w:rFonts w:ascii="Times New Roman" w:hAnsi="Times New Roman" w:cs="Times New Roman"/>
          <w:sz w:val="24"/>
        </w:rPr>
        <w:t xml:space="preserve">, 2023. </w:t>
      </w:r>
      <w:r w:rsidRPr="00337911">
        <w:rPr>
          <w:rStyle w:val="Emphasis"/>
          <w:rFonts w:ascii="Times New Roman" w:hAnsi="Times New Roman" w:cs="Times New Roman"/>
          <w:sz w:val="24"/>
        </w:rPr>
        <w:t>Identity access management (IAM) – the new normal</w:t>
      </w:r>
      <w:r w:rsidRPr="00337911">
        <w:rPr>
          <w:rFonts w:ascii="Times New Roman" w:hAnsi="Times New Roman" w:cs="Times New Roman"/>
          <w:sz w:val="24"/>
        </w:rPr>
        <w:t xml:space="preserve">. [online] </w:t>
      </w:r>
      <w:proofErr w:type="spellStart"/>
      <w:r w:rsidRPr="00337911">
        <w:rPr>
          <w:rFonts w:ascii="Times New Roman" w:hAnsi="Times New Roman" w:cs="Times New Roman"/>
          <w:sz w:val="24"/>
        </w:rPr>
        <w:t>Capgemini</w:t>
      </w:r>
      <w:proofErr w:type="spellEnd"/>
      <w:r w:rsidRPr="00337911">
        <w:rPr>
          <w:rFonts w:ascii="Times New Roman" w:hAnsi="Times New Roman" w:cs="Times New Roman"/>
          <w:sz w:val="24"/>
        </w:rPr>
        <w:t xml:space="preserve">. Available at: </w:t>
      </w:r>
      <w:hyperlink r:id="rId14" w:tgtFrame="_new" w:history="1">
        <w:r w:rsidRPr="00337911">
          <w:rPr>
            <w:rStyle w:val="Hyperlink"/>
            <w:rFonts w:ascii="Times New Roman" w:hAnsi="Times New Roman" w:cs="Times New Roman"/>
            <w:sz w:val="24"/>
          </w:rPr>
          <w:t>https://www.capgemini.com/insights/expert-perspectives/identity-access-management-iam-the-new-normal/</w:t>
        </w:r>
      </w:hyperlink>
      <w:r w:rsidRPr="00337911">
        <w:rPr>
          <w:rFonts w:ascii="Times New Roman" w:hAnsi="Times New Roman" w:cs="Times New Roman"/>
          <w:sz w:val="24"/>
        </w:rPr>
        <w:t xml:space="preserve"> [Accessed 13 Jul. 2025].</w:t>
      </w:r>
    </w:p>
    <w:p w14:paraId="71C8AF48" w14:textId="77777777" w:rsidR="00352381" w:rsidRPr="002B6771" w:rsidRDefault="00352381" w:rsidP="00B62310">
      <w:pPr>
        <w:pStyle w:val="ListParagraph"/>
        <w:numPr>
          <w:ilvl w:val="0"/>
          <w:numId w:val="1"/>
        </w:numPr>
        <w:spacing w:line="360" w:lineRule="auto"/>
        <w:rPr>
          <w:rFonts w:ascii="Times New Roman" w:eastAsia="Times New Roman" w:hAnsi="Times New Roman" w:cs="Times New Roman"/>
          <w:i/>
          <w:iCs/>
          <w:sz w:val="24"/>
          <w:szCs w:val="24"/>
          <w:lang w:eastAsia="en-GB"/>
        </w:rPr>
      </w:pPr>
      <w:r w:rsidRPr="002B6771">
        <w:rPr>
          <w:rFonts w:ascii="Times New Roman" w:eastAsia="Times New Roman" w:hAnsi="Times New Roman" w:cs="Times New Roman"/>
          <w:i/>
          <w:iCs/>
          <w:sz w:val="24"/>
          <w:szCs w:val="24"/>
          <w:lang w:eastAsia="en-GB"/>
        </w:rPr>
        <w:t xml:space="preserve">FCA (2024) </w:t>
      </w:r>
      <w:r w:rsidR="002B6771" w:rsidRPr="002B6771">
        <w:rPr>
          <w:rFonts w:ascii="Times New Roman" w:eastAsia="Times New Roman" w:hAnsi="Times New Roman" w:cs="Times New Roman"/>
          <w:i/>
          <w:iCs/>
          <w:sz w:val="24"/>
          <w:szCs w:val="24"/>
          <w:lang w:eastAsia="en-GB"/>
        </w:rPr>
        <w:t>CP24/20: Changes to the safeguarding regime for payments and e-money firms</w:t>
      </w:r>
      <w:r w:rsidRPr="002B6771">
        <w:rPr>
          <w:rFonts w:ascii="Times New Roman" w:eastAsia="Times New Roman" w:hAnsi="Times New Roman" w:cs="Times New Roman"/>
          <w:sz w:val="24"/>
          <w:szCs w:val="24"/>
          <w:lang w:eastAsia="en-GB"/>
        </w:rPr>
        <w:t xml:space="preserve">. Available at: </w:t>
      </w:r>
      <w:hyperlink r:id="rId15" w:history="1">
        <w:r w:rsidR="0037584C">
          <w:rPr>
            <w:rStyle w:val="Hyperlink"/>
          </w:rPr>
          <w:t>CP24/20: Changes to the safeguarding regime for payments and e-money firms | FCA</w:t>
        </w:r>
      </w:hyperlink>
      <w:r w:rsidRPr="002B6771">
        <w:rPr>
          <w:rFonts w:ascii="Times New Roman" w:eastAsia="Times New Roman" w:hAnsi="Times New Roman" w:cs="Times New Roman"/>
          <w:sz w:val="24"/>
          <w:szCs w:val="24"/>
          <w:lang w:eastAsia="en-GB"/>
        </w:rPr>
        <w:t xml:space="preserve"> (Accessed: 12 July 2025).</w:t>
      </w:r>
    </w:p>
    <w:p w14:paraId="3AF95F4F" w14:textId="77777777" w:rsidR="0024327E" w:rsidRPr="0024327E" w:rsidRDefault="0024327E" w:rsidP="00B62310">
      <w:pPr>
        <w:pStyle w:val="NormalWeb"/>
        <w:numPr>
          <w:ilvl w:val="0"/>
          <w:numId w:val="1"/>
        </w:numPr>
        <w:spacing w:line="360" w:lineRule="auto"/>
      </w:pPr>
      <w:proofErr w:type="spellStart"/>
      <w:r>
        <w:t>Esmaeili</w:t>
      </w:r>
      <w:proofErr w:type="spellEnd"/>
      <w:r>
        <w:t xml:space="preserve">, M., Ahmadi, M., </w:t>
      </w:r>
      <w:proofErr w:type="spellStart"/>
      <w:r>
        <w:t>Ismaeil</w:t>
      </w:r>
      <w:proofErr w:type="spellEnd"/>
      <w:r>
        <w:t xml:space="preserve">, M. D., </w:t>
      </w:r>
      <w:proofErr w:type="spellStart"/>
      <w:r>
        <w:t>Mirzaei</w:t>
      </w:r>
      <w:proofErr w:type="spellEnd"/>
      <w:r>
        <w:t xml:space="preserve">, S. and </w:t>
      </w:r>
      <w:proofErr w:type="spellStart"/>
      <w:r>
        <w:t>Canales</w:t>
      </w:r>
      <w:proofErr w:type="spellEnd"/>
      <w:r>
        <w:t xml:space="preserve"> </w:t>
      </w:r>
      <w:proofErr w:type="spellStart"/>
      <w:r>
        <w:t>Verdial</w:t>
      </w:r>
      <w:proofErr w:type="spellEnd"/>
      <w:r>
        <w:t xml:space="preserve">, J. (2024) 'Advancements in AI-driven customer service', 2024 IEEE World AI IoT Congress (AIIoT), Seattle, WA, USA, pp. 1-5. </w:t>
      </w:r>
      <w:proofErr w:type="spellStart"/>
      <w:r>
        <w:t>doi</w:t>
      </w:r>
      <w:proofErr w:type="spellEnd"/>
      <w:r>
        <w:t xml:space="preserve">: 10.1109/AIIoT61789.2024.10579008 (Accessed: 13 July 2025). </w:t>
      </w:r>
    </w:p>
    <w:p w14:paraId="0BCA20CF"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Information Commissioner’s Office (2023) </w:t>
      </w:r>
      <w:r w:rsidRPr="00352381">
        <w:rPr>
          <w:rFonts w:ascii="Times New Roman" w:eastAsia="Times New Roman" w:hAnsi="Times New Roman" w:cs="Times New Roman"/>
          <w:i/>
          <w:iCs/>
          <w:sz w:val="24"/>
          <w:szCs w:val="24"/>
          <w:lang w:eastAsia="en-GB"/>
        </w:rPr>
        <w:t>Data Breach Penalties Report 2022-2023</w:t>
      </w:r>
      <w:r w:rsidRPr="00352381">
        <w:rPr>
          <w:rFonts w:ascii="Times New Roman" w:eastAsia="Times New Roman" w:hAnsi="Times New Roman" w:cs="Times New Roman"/>
          <w:sz w:val="24"/>
          <w:szCs w:val="24"/>
          <w:lang w:eastAsia="en-GB"/>
        </w:rPr>
        <w:t xml:space="preserve">. </w:t>
      </w:r>
    </w:p>
    <w:p w14:paraId="64596722"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ISACA (2023) </w:t>
      </w:r>
      <w:r w:rsidRPr="00352381">
        <w:rPr>
          <w:rFonts w:ascii="Times New Roman" w:eastAsia="Times New Roman" w:hAnsi="Times New Roman" w:cs="Times New Roman"/>
          <w:i/>
          <w:iCs/>
          <w:sz w:val="24"/>
          <w:szCs w:val="24"/>
          <w:lang w:eastAsia="en-GB"/>
        </w:rPr>
        <w:t>State of Cybersecurity 2023</w:t>
      </w:r>
      <w:r w:rsidRPr="00352381">
        <w:rPr>
          <w:rFonts w:ascii="Times New Roman" w:eastAsia="Times New Roman" w:hAnsi="Times New Roman" w:cs="Times New Roman"/>
          <w:sz w:val="24"/>
          <w:szCs w:val="24"/>
          <w:lang w:eastAsia="en-GB"/>
        </w:rPr>
        <w:t xml:space="preserve">. Available at: </w:t>
      </w:r>
      <w:hyperlink r:id="rId16" w:history="1">
        <w:r w:rsidR="00E874F7">
          <w:rPr>
            <w:rStyle w:val="Hyperlink"/>
          </w:rPr>
          <w:t>State of Cybersecurity 2023 | ISACA</w:t>
        </w:r>
      </w:hyperlink>
      <w:r w:rsidR="00E874F7" w:rsidRPr="00352381">
        <w:rPr>
          <w:rFonts w:ascii="Times New Roman" w:eastAsia="Times New Roman" w:hAnsi="Times New Roman" w:cs="Times New Roman"/>
          <w:sz w:val="24"/>
          <w:szCs w:val="24"/>
          <w:lang w:eastAsia="en-GB"/>
        </w:rPr>
        <w:t xml:space="preserve"> </w:t>
      </w:r>
      <w:r w:rsidRPr="00352381">
        <w:rPr>
          <w:rFonts w:ascii="Times New Roman" w:eastAsia="Times New Roman" w:hAnsi="Times New Roman" w:cs="Times New Roman"/>
          <w:sz w:val="24"/>
          <w:szCs w:val="24"/>
          <w:lang w:eastAsia="en-GB"/>
        </w:rPr>
        <w:t>(Accessed: 12 July 2025).</w:t>
      </w:r>
    </w:p>
    <w:p w14:paraId="54D67D8F"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ISO 9241-151:2008 </w:t>
      </w:r>
      <w:r w:rsidRPr="00352381">
        <w:rPr>
          <w:rFonts w:ascii="Times New Roman" w:eastAsia="Times New Roman" w:hAnsi="Times New Roman" w:cs="Times New Roman"/>
          <w:i/>
          <w:iCs/>
          <w:sz w:val="24"/>
          <w:szCs w:val="24"/>
          <w:lang w:eastAsia="en-GB"/>
        </w:rPr>
        <w:t>Ergonomics of Human-System Interaction – Guidance on World Wide Web User Interfaces</w:t>
      </w:r>
      <w:r w:rsidRPr="00352381">
        <w:rPr>
          <w:rFonts w:ascii="Times New Roman" w:eastAsia="Times New Roman" w:hAnsi="Times New Roman" w:cs="Times New Roman"/>
          <w:sz w:val="24"/>
          <w:szCs w:val="24"/>
          <w:lang w:eastAsia="en-GB"/>
        </w:rPr>
        <w:t xml:space="preserve">. Available at: </w:t>
      </w:r>
      <w:hyperlink r:id="rId17" w:anchor=":~:text=ISO%209241-151%3A2008%20provides%20guidance%20on%20the%20human-centred%20design,user%20interfaces%20with%20the%20aim%20of%20increasing%20usability." w:history="1">
        <w:r w:rsidR="00E874F7">
          <w:rPr>
            <w:rStyle w:val="Hyperlink"/>
          </w:rPr>
          <w:t>EN ISO 9241-151:2008 - Ergonomics of human-system interaction - Part 151: Guidance on World Wide Web</w:t>
        </w:r>
      </w:hyperlink>
      <w:r w:rsidRPr="00352381">
        <w:rPr>
          <w:rFonts w:ascii="Times New Roman" w:eastAsia="Times New Roman" w:hAnsi="Times New Roman" w:cs="Times New Roman"/>
          <w:sz w:val="24"/>
          <w:szCs w:val="24"/>
          <w:lang w:eastAsia="en-GB"/>
        </w:rPr>
        <w:t xml:space="preserve"> (Accessed: 12 July 2025).</w:t>
      </w:r>
    </w:p>
    <w:p w14:paraId="439BBA9B"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ISO/IEC 27001:2022 </w:t>
      </w:r>
      <w:r w:rsidRPr="00352381">
        <w:rPr>
          <w:rFonts w:ascii="Times New Roman" w:eastAsia="Times New Roman" w:hAnsi="Times New Roman" w:cs="Times New Roman"/>
          <w:i/>
          <w:iCs/>
          <w:sz w:val="24"/>
          <w:szCs w:val="24"/>
          <w:lang w:eastAsia="en-GB"/>
        </w:rPr>
        <w:t>Information Security Management</w:t>
      </w:r>
      <w:r w:rsidRPr="00352381">
        <w:rPr>
          <w:rFonts w:ascii="Times New Roman" w:eastAsia="Times New Roman" w:hAnsi="Times New Roman" w:cs="Times New Roman"/>
          <w:sz w:val="24"/>
          <w:szCs w:val="24"/>
          <w:lang w:eastAsia="en-GB"/>
        </w:rPr>
        <w:t xml:space="preserve">. Available at: </w:t>
      </w:r>
      <w:hyperlink r:id="rId18" w:history="1">
        <w:r w:rsidR="00A62991">
          <w:rPr>
            <w:rStyle w:val="Hyperlink"/>
          </w:rPr>
          <w:t xml:space="preserve">ISO 27001:2022 | Information Security Management </w:t>
        </w:r>
        <w:proofErr w:type="spellStart"/>
        <w:r w:rsidR="00A62991">
          <w:rPr>
            <w:rStyle w:val="Hyperlink"/>
          </w:rPr>
          <w:t>Standa</w:t>
        </w:r>
        <w:proofErr w:type="spellEnd"/>
        <w:r w:rsidR="00A62991">
          <w:rPr>
            <w:rStyle w:val="Hyperlink"/>
          </w:rPr>
          <w:t xml:space="preserve"> | GET ISO</w:t>
        </w:r>
      </w:hyperlink>
      <w:r w:rsidR="00E874F7" w:rsidRPr="00352381">
        <w:rPr>
          <w:rFonts w:ascii="Times New Roman" w:eastAsia="Times New Roman" w:hAnsi="Times New Roman" w:cs="Times New Roman"/>
          <w:sz w:val="24"/>
          <w:szCs w:val="24"/>
          <w:lang w:eastAsia="en-GB"/>
        </w:rPr>
        <w:t xml:space="preserve"> </w:t>
      </w:r>
      <w:r w:rsidRPr="00352381">
        <w:rPr>
          <w:rFonts w:ascii="Times New Roman" w:eastAsia="Times New Roman" w:hAnsi="Times New Roman" w:cs="Times New Roman"/>
          <w:sz w:val="24"/>
          <w:szCs w:val="24"/>
          <w:lang w:eastAsia="en-GB"/>
        </w:rPr>
        <w:t>(Accessed: 12 July 2025).</w:t>
      </w:r>
    </w:p>
    <w:p w14:paraId="4852961D"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KPMG (2023) </w:t>
      </w:r>
      <w:r w:rsidRPr="00352381">
        <w:rPr>
          <w:rFonts w:ascii="Times New Roman" w:eastAsia="Times New Roman" w:hAnsi="Times New Roman" w:cs="Times New Roman"/>
          <w:i/>
          <w:iCs/>
          <w:sz w:val="24"/>
          <w:szCs w:val="24"/>
          <w:lang w:eastAsia="en-GB"/>
        </w:rPr>
        <w:t>Insider Threat Trends 2023</w:t>
      </w:r>
      <w:r w:rsidRPr="00352381">
        <w:rPr>
          <w:rFonts w:ascii="Times New Roman" w:eastAsia="Times New Roman" w:hAnsi="Times New Roman" w:cs="Times New Roman"/>
          <w:sz w:val="24"/>
          <w:szCs w:val="24"/>
          <w:lang w:eastAsia="en-GB"/>
        </w:rPr>
        <w:t xml:space="preserve">. </w:t>
      </w:r>
    </w:p>
    <w:p w14:paraId="2355AD28"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Nielsen, J. (1994)</w:t>
      </w:r>
      <w:r w:rsidR="00A62991">
        <w:rPr>
          <w:rFonts w:ascii="Times New Roman" w:eastAsia="Times New Roman" w:hAnsi="Times New Roman" w:cs="Times New Roman"/>
          <w:sz w:val="24"/>
          <w:szCs w:val="24"/>
          <w:lang w:eastAsia="en-GB"/>
        </w:rPr>
        <w:t>.</w:t>
      </w:r>
      <w:r w:rsidRPr="00352381">
        <w:rPr>
          <w:rFonts w:ascii="Times New Roman" w:eastAsia="Times New Roman" w:hAnsi="Times New Roman" w:cs="Times New Roman"/>
          <w:sz w:val="24"/>
          <w:szCs w:val="24"/>
          <w:lang w:eastAsia="en-GB"/>
        </w:rPr>
        <w:t xml:space="preserve"> </w:t>
      </w:r>
      <w:r w:rsidRPr="00352381">
        <w:rPr>
          <w:rFonts w:ascii="Times New Roman" w:eastAsia="Times New Roman" w:hAnsi="Times New Roman" w:cs="Times New Roman"/>
          <w:i/>
          <w:iCs/>
          <w:sz w:val="24"/>
          <w:szCs w:val="24"/>
          <w:lang w:eastAsia="en-GB"/>
        </w:rPr>
        <w:t>Usability Engineering</w:t>
      </w:r>
      <w:r w:rsidRPr="00352381">
        <w:rPr>
          <w:rFonts w:ascii="Times New Roman" w:eastAsia="Times New Roman" w:hAnsi="Times New Roman" w:cs="Times New Roman"/>
          <w:sz w:val="24"/>
          <w:szCs w:val="24"/>
          <w:lang w:eastAsia="en-GB"/>
        </w:rPr>
        <w:t>. Boston: Academic Press.</w:t>
      </w:r>
    </w:p>
    <w:p w14:paraId="28E08A1C"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proofErr w:type="spellStart"/>
      <w:r w:rsidRPr="00352381">
        <w:rPr>
          <w:rFonts w:ascii="Times New Roman" w:eastAsia="Times New Roman" w:hAnsi="Times New Roman" w:cs="Times New Roman"/>
          <w:sz w:val="24"/>
          <w:szCs w:val="24"/>
          <w:lang w:eastAsia="en-GB"/>
        </w:rPr>
        <w:t>Ponemon</w:t>
      </w:r>
      <w:proofErr w:type="spellEnd"/>
      <w:r w:rsidRPr="00352381">
        <w:rPr>
          <w:rFonts w:ascii="Times New Roman" w:eastAsia="Times New Roman" w:hAnsi="Times New Roman" w:cs="Times New Roman"/>
          <w:sz w:val="24"/>
          <w:szCs w:val="24"/>
          <w:lang w:eastAsia="en-GB"/>
        </w:rPr>
        <w:t xml:space="preserve"> Institute (2024) </w:t>
      </w:r>
      <w:r w:rsidRPr="00352381">
        <w:rPr>
          <w:rFonts w:ascii="Times New Roman" w:eastAsia="Times New Roman" w:hAnsi="Times New Roman" w:cs="Times New Roman"/>
          <w:i/>
          <w:iCs/>
          <w:sz w:val="24"/>
          <w:szCs w:val="24"/>
          <w:lang w:eastAsia="en-GB"/>
        </w:rPr>
        <w:t>Cost of a Data Breach Report 2024</w:t>
      </w:r>
      <w:r w:rsidRPr="00352381">
        <w:rPr>
          <w:rFonts w:ascii="Times New Roman" w:eastAsia="Times New Roman" w:hAnsi="Times New Roman" w:cs="Times New Roman"/>
          <w:sz w:val="24"/>
          <w:szCs w:val="24"/>
          <w:lang w:eastAsia="en-GB"/>
        </w:rPr>
        <w:t xml:space="preserve">. </w:t>
      </w:r>
    </w:p>
    <w:p w14:paraId="491F1EF3"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PwC (2024) </w:t>
      </w:r>
      <w:r w:rsidRPr="00352381">
        <w:rPr>
          <w:rFonts w:ascii="Times New Roman" w:eastAsia="Times New Roman" w:hAnsi="Times New Roman" w:cs="Times New Roman"/>
          <w:i/>
          <w:iCs/>
          <w:sz w:val="24"/>
          <w:szCs w:val="24"/>
          <w:lang w:eastAsia="en-GB"/>
        </w:rPr>
        <w:t>Global Digital Trust Insights 2024</w:t>
      </w:r>
      <w:r w:rsidRPr="00352381">
        <w:rPr>
          <w:rFonts w:ascii="Times New Roman" w:eastAsia="Times New Roman" w:hAnsi="Times New Roman" w:cs="Times New Roman"/>
          <w:sz w:val="24"/>
          <w:szCs w:val="24"/>
          <w:lang w:eastAsia="en-GB"/>
        </w:rPr>
        <w:t xml:space="preserve">. Available at: </w:t>
      </w:r>
      <w:hyperlink r:id="rId19" w:history="1">
        <w:r w:rsidR="00800C04">
          <w:rPr>
            <w:rStyle w:val="Hyperlink"/>
          </w:rPr>
          <w:t>2024 Global Digital Trust Insights Survey: PwC</w:t>
        </w:r>
      </w:hyperlink>
      <w:r w:rsidR="00800C04" w:rsidRPr="00352381">
        <w:rPr>
          <w:rFonts w:ascii="Times New Roman" w:eastAsia="Times New Roman" w:hAnsi="Times New Roman" w:cs="Times New Roman"/>
          <w:sz w:val="24"/>
          <w:szCs w:val="24"/>
          <w:lang w:eastAsia="en-GB"/>
        </w:rPr>
        <w:t xml:space="preserve"> </w:t>
      </w:r>
      <w:r w:rsidRPr="00352381">
        <w:rPr>
          <w:rFonts w:ascii="Times New Roman" w:eastAsia="Times New Roman" w:hAnsi="Times New Roman" w:cs="Times New Roman"/>
          <w:sz w:val="24"/>
          <w:szCs w:val="24"/>
          <w:lang w:eastAsia="en-GB"/>
        </w:rPr>
        <w:t>(Accessed: 12 July 2025).</w:t>
      </w:r>
    </w:p>
    <w:p w14:paraId="49F334C2" w14:textId="77777777" w:rsidR="00352381" w:rsidRPr="00352381" w:rsidRDefault="004C76B8"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800C04">
        <w:rPr>
          <w:rFonts w:ascii="Times New Roman" w:eastAsia="Times New Roman" w:hAnsi="Times New Roman" w:cs="Times New Roman"/>
          <w:sz w:val="24"/>
          <w:szCs w:val="24"/>
          <w:lang w:eastAsia="en-GB"/>
        </w:rPr>
        <w:t xml:space="preserve">Smith, A. and Jones, B. (2023) Ethical Considerations in AI-Driven Marketing: A Framework for Responsible </w:t>
      </w:r>
      <w:proofErr w:type="spellStart"/>
      <w:r w:rsidRPr="00800C04">
        <w:rPr>
          <w:rFonts w:ascii="Times New Roman" w:eastAsia="Times New Roman" w:hAnsi="Times New Roman" w:cs="Times New Roman"/>
          <w:sz w:val="24"/>
          <w:szCs w:val="24"/>
          <w:lang w:eastAsia="en-GB"/>
        </w:rPr>
        <w:t>Personalization</w:t>
      </w:r>
      <w:proofErr w:type="spellEnd"/>
      <w:r w:rsidRPr="00800C04">
        <w:rPr>
          <w:rFonts w:ascii="Times New Roman" w:eastAsia="Times New Roman" w:hAnsi="Times New Roman" w:cs="Times New Roman"/>
          <w:sz w:val="24"/>
          <w:szCs w:val="24"/>
          <w:lang w:eastAsia="en-GB"/>
        </w:rPr>
        <w:t>. Journal of Business Ethics, 174, 405-421</w:t>
      </w:r>
      <w:r w:rsidR="00352381" w:rsidRPr="00352381">
        <w:rPr>
          <w:rFonts w:ascii="Times New Roman" w:eastAsia="Times New Roman" w:hAnsi="Times New Roman" w:cs="Times New Roman"/>
          <w:sz w:val="24"/>
          <w:szCs w:val="24"/>
          <w:lang w:eastAsia="en-GB"/>
        </w:rPr>
        <w:t>.</w:t>
      </w:r>
    </w:p>
    <w:p w14:paraId="123BC036"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Verizon (2023) </w:t>
      </w:r>
      <w:r w:rsidRPr="00352381">
        <w:rPr>
          <w:rFonts w:ascii="Times New Roman" w:eastAsia="Times New Roman" w:hAnsi="Times New Roman" w:cs="Times New Roman"/>
          <w:i/>
          <w:iCs/>
          <w:sz w:val="24"/>
          <w:szCs w:val="24"/>
          <w:lang w:eastAsia="en-GB"/>
        </w:rPr>
        <w:t>2023 Data Breach Investigations Report</w:t>
      </w:r>
      <w:r w:rsidRPr="00352381">
        <w:rPr>
          <w:rFonts w:ascii="Times New Roman" w:eastAsia="Times New Roman" w:hAnsi="Times New Roman" w:cs="Times New Roman"/>
          <w:sz w:val="24"/>
          <w:szCs w:val="24"/>
          <w:lang w:eastAsia="en-GB"/>
        </w:rPr>
        <w:t xml:space="preserve">. </w:t>
      </w:r>
    </w:p>
    <w:p w14:paraId="194980E8" w14:textId="77777777" w:rsidR="00352381" w:rsidRPr="00352381" w:rsidRDefault="00352381" w:rsidP="00B62310">
      <w:pPr>
        <w:widowControl/>
        <w:numPr>
          <w:ilvl w:val="0"/>
          <w:numId w:val="1"/>
        </w:numPr>
        <w:autoSpaceDE/>
        <w:autoSpaceDN/>
        <w:spacing w:before="100" w:line="360" w:lineRule="auto"/>
        <w:rPr>
          <w:rFonts w:ascii="Times New Roman" w:eastAsia="Times New Roman" w:hAnsi="Times New Roman" w:cs="Times New Roman"/>
          <w:sz w:val="24"/>
          <w:szCs w:val="24"/>
          <w:lang w:eastAsia="en-GB"/>
        </w:rPr>
      </w:pPr>
      <w:r w:rsidRPr="00352381">
        <w:rPr>
          <w:rFonts w:ascii="Times New Roman" w:eastAsia="Times New Roman" w:hAnsi="Times New Roman" w:cs="Times New Roman"/>
          <w:sz w:val="24"/>
          <w:szCs w:val="24"/>
          <w:lang w:eastAsia="en-GB"/>
        </w:rPr>
        <w:t xml:space="preserve">W3C (2023) </w:t>
      </w:r>
      <w:r w:rsidRPr="00352381">
        <w:rPr>
          <w:rFonts w:ascii="Times New Roman" w:eastAsia="Times New Roman" w:hAnsi="Times New Roman" w:cs="Times New Roman"/>
          <w:i/>
          <w:iCs/>
          <w:sz w:val="24"/>
          <w:szCs w:val="24"/>
          <w:lang w:eastAsia="en-GB"/>
        </w:rPr>
        <w:t>Web Content Accessibility Guidelines (WCAG) 2.2</w:t>
      </w:r>
      <w:r w:rsidRPr="00352381">
        <w:rPr>
          <w:rFonts w:ascii="Times New Roman" w:eastAsia="Times New Roman" w:hAnsi="Times New Roman" w:cs="Times New Roman"/>
          <w:sz w:val="24"/>
          <w:szCs w:val="24"/>
          <w:lang w:eastAsia="en-GB"/>
        </w:rPr>
        <w:t xml:space="preserve">. Available at: </w:t>
      </w:r>
      <w:hyperlink r:id="rId20" w:history="1">
        <w:r w:rsidR="009519C2">
          <w:rPr>
            <w:rStyle w:val="Hyperlink"/>
          </w:rPr>
          <w:t>Web Content Accessibility Guidelines (WCAG) 2.2</w:t>
        </w:r>
      </w:hyperlink>
      <w:r w:rsidR="009519C2" w:rsidRPr="00352381">
        <w:rPr>
          <w:rFonts w:ascii="Times New Roman" w:eastAsia="Times New Roman" w:hAnsi="Times New Roman" w:cs="Times New Roman"/>
          <w:sz w:val="24"/>
          <w:szCs w:val="24"/>
          <w:lang w:eastAsia="en-GB"/>
        </w:rPr>
        <w:t xml:space="preserve"> (Accessed: 12 July 2025).</w:t>
      </w:r>
    </w:p>
    <w:p w14:paraId="33E2FAFB" w14:textId="77777777" w:rsidR="00197EDF" w:rsidRDefault="00197EDF" w:rsidP="00B62310">
      <w:pPr>
        <w:spacing w:line="360" w:lineRule="auto"/>
      </w:pPr>
    </w:p>
    <w:sectPr w:rsidR="00197EDF" w:rsidSect="004D59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E2076"/>
    <w:multiLevelType w:val="multilevel"/>
    <w:tmpl w:val="EC1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1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60A"/>
    <w:rsid w:val="000A0CDA"/>
    <w:rsid w:val="000C51E1"/>
    <w:rsid w:val="0013597B"/>
    <w:rsid w:val="00197EDF"/>
    <w:rsid w:val="001C1A48"/>
    <w:rsid w:val="001E3B5F"/>
    <w:rsid w:val="001E4A61"/>
    <w:rsid w:val="001F7B19"/>
    <w:rsid w:val="0024327E"/>
    <w:rsid w:val="00297A0A"/>
    <w:rsid w:val="002B6771"/>
    <w:rsid w:val="00337911"/>
    <w:rsid w:val="00352381"/>
    <w:rsid w:val="00361FB4"/>
    <w:rsid w:val="0037584C"/>
    <w:rsid w:val="00490850"/>
    <w:rsid w:val="00497768"/>
    <w:rsid w:val="004C76B8"/>
    <w:rsid w:val="004D5973"/>
    <w:rsid w:val="004F10AA"/>
    <w:rsid w:val="005D5FA2"/>
    <w:rsid w:val="00703C8F"/>
    <w:rsid w:val="00800C04"/>
    <w:rsid w:val="00862207"/>
    <w:rsid w:val="00893466"/>
    <w:rsid w:val="00946A71"/>
    <w:rsid w:val="009519C2"/>
    <w:rsid w:val="00A3160A"/>
    <w:rsid w:val="00A62991"/>
    <w:rsid w:val="00A96915"/>
    <w:rsid w:val="00B20CC8"/>
    <w:rsid w:val="00B43659"/>
    <w:rsid w:val="00B62310"/>
    <w:rsid w:val="00BA57A3"/>
    <w:rsid w:val="00C10D53"/>
    <w:rsid w:val="00C63CFE"/>
    <w:rsid w:val="00CD008E"/>
    <w:rsid w:val="00D80453"/>
    <w:rsid w:val="00DC716A"/>
    <w:rsid w:val="00E1369E"/>
    <w:rsid w:val="00E2264D"/>
    <w:rsid w:val="00E64012"/>
    <w:rsid w:val="00E874F7"/>
    <w:rsid w:val="00EB1FBF"/>
    <w:rsid w:val="00EC11CE"/>
    <w:rsid w:val="00F55995"/>
    <w:rsid w:val="00FC1C52"/>
    <w:rsid w:val="00FD39E5"/>
    <w:rsid w:val="00FE188F"/>
    <w:rsid w:val="00FF5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5AC44"/>
  <w15:chartTrackingRefBased/>
  <w15:docId w15:val="{F2A08155-8CDA-4382-96F1-56C54DE4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259" w:right="38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before="0" w:line="240" w:lineRule="auto"/>
      <w:ind w:left="0" w:right="0"/>
    </w:pPr>
    <w:rPr>
      <w:lang w:val="en-GB"/>
    </w:rPr>
  </w:style>
  <w:style w:type="paragraph" w:styleId="Heading1">
    <w:name w:val="heading 1"/>
    <w:basedOn w:val="Normal"/>
    <w:next w:val="Normal"/>
    <w:link w:val="Heading1Char"/>
    <w:uiPriority w:val="9"/>
    <w:qFormat/>
    <w:rsid w:val="00B436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436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link w:val="Heading3Char"/>
    <w:uiPriority w:val="9"/>
    <w:qFormat/>
    <w:rsid w:val="00197EDF"/>
    <w:pPr>
      <w:widowControl/>
      <w:autoSpaceDE/>
      <w:autoSpaceDN/>
      <w:spacing w:before="100"/>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6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43659"/>
    <w:rPr>
      <w:rFonts w:ascii="Times New Roman" w:eastAsiaTheme="majorEastAsia" w:hAnsi="Times New Roman" w:cstheme="majorBidi"/>
      <w:b/>
      <w:color w:val="000000" w:themeColor="text1"/>
      <w:sz w:val="26"/>
      <w:szCs w:val="26"/>
    </w:rPr>
  </w:style>
  <w:style w:type="paragraph" w:styleId="NormalWeb">
    <w:name w:val="Normal (Web)"/>
    <w:basedOn w:val="Normal"/>
    <w:uiPriority w:val="99"/>
    <w:unhideWhenUsed/>
    <w:rsid w:val="00CD008E"/>
    <w:pPr>
      <w:widowControl/>
      <w:autoSpaceDE/>
      <w:autoSpaceDN/>
      <w:spacing w:before="100"/>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008E"/>
    <w:rPr>
      <w:b/>
      <w:bCs/>
    </w:rPr>
  </w:style>
  <w:style w:type="character" w:customStyle="1" w:styleId="Heading3Char">
    <w:name w:val="Heading 3 Char"/>
    <w:basedOn w:val="DefaultParagraphFont"/>
    <w:link w:val="Heading3"/>
    <w:uiPriority w:val="9"/>
    <w:rsid w:val="00197EDF"/>
    <w:rPr>
      <w:rFonts w:ascii="Times New Roman" w:eastAsia="Times New Roman" w:hAnsi="Times New Roman" w:cs="Times New Roman"/>
      <w:b/>
      <w:bCs/>
      <w:sz w:val="27"/>
      <w:szCs w:val="27"/>
      <w:lang w:val="en-GB" w:eastAsia="en-GB"/>
    </w:rPr>
  </w:style>
  <w:style w:type="paragraph" w:styleId="Caption">
    <w:name w:val="caption"/>
    <w:basedOn w:val="Normal"/>
    <w:next w:val="Normal"/>
    <w:uiPriority w:val="35"/>
    <w:unhideWhenUsed/>
    <w:qFormat/>
    <w:rsid w:val="004F10AA"/>
    <w:pPr>
      <w:spacing w:after="200"/>
    </w:pPr>
    <w:rPr>
      <w:i/>
      <w:iCs/>
      <w:color w:val="44546A" w:themeColor="text2"/>
      <w:sz w:val="18"/>
      <w:szCs w:val="18"/>
    </w:rPr>
  </w:style>
  <w:style w:type="character" w:styleId="Emphasis">
    <w:name w:val="Emphasis"/>
    <w:basedOn w:val="DefaultParagraphFont"/>
    <w:uiPriority w:val="20"/>
    <w:qFormat/>
    <w:rsid w:val="00352381"/>
    <w:rPr>
      <w:i/>
      <w:iCs/>
    </w:rPr>
  </w:style>
  <w:style w:type="character" w:styleId="Hyperlink">
    <w:name w:val="Hyperlink"/>
    <w:basedOn w:val="DefaultParagraphFont"/>
    <w:uiPriority w:val="99"/>
    <w:semiHidden/>
    <w:unhideWhenUsed/>
    <w:rsid w:val="00352381"/>
    <w:rPr>
      <w:color w:val="0000FF"/>
      <w:u w:val="single"/>
    </w:rPr>
  </w:style>
  <w:style w:type="paragraph" w:styleId="ListParagraph">
    <w:name w:val="List Paragraph"/>
    <w:basedOn w:val="Normal"/>
    <w:uiPriority w:val="34"/>
    <w:qFormat/>
    <w:rsid w:val="002B6771"/>
    <w:pPr>
      <w:ind w:left="720"/>
      <w:contextualSpacing/>
    </w:pPr>
  </w:style>
  <w:style w:type="paragraph" w:styleId="NoSpacing">
    <w:name w:val="No Spacing"/>
    <w:link w:val="NoSpacingChar"/>
    <w:uiPriority w:val="1"/>
    <w:qFormat/>
    <w:rsid w:val="004D5973"/>
    <w:pPr>
      <w:spacing w:before="0" w:beforeAutospacing="0" w:after="0" w:afterAutospacing="0" w:line="240" w:lineRule="auto"/>
      <w:ind w:left="0" w:right="0"/>
    </w:pPr>
    <w:rPr>
      <w:rFonts w:eastAsiaTheme="minorEastAsia"/>
    </w:rPr>
  </w:style>
  <w:style w:type="character" w:customStyle="1" w:styleId="NoSpacingChar">
    <w:name w:val="No Spacing Char"/>
    <w:basedOn w:val="DefaultParagraphFont"/>
    <w:link w:val="NoSpacing"/>
    <w:uiPriority w:val="1"/>
    <w:rsid w:val="004D597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65681">
      <w:bodyDiv w:val="1"/>
      <w:marLeft w:val="0"/>
      <w:marRight w:val="0"/>
      <w:marTop w:val="0"/>
      <w:marBottom w:val="0"/>
      <w:divBdr>
        <w:top w:val="none" w:sz="0" w:space="0" w:color="auto"/>
        <w:left w:val="none" w:sz="0" w:space="0" w:color="auto"/>
        <w:bottom w:val="none" w:sz="0" w:space="0" w:color="auto"/>
        <w:right w:val="none" w:sz="0" w:space="0" w:color="auto"/>
      </w:divBdr>
    </w:div>
    <w:div w:id="684290676">
      <w:bodyDiv w:val="1"/>
      <w:marLeft w:val="0"/>
      <w:marRight w:val="0"/>
      <w:marTop w:val="0"/>
      <w:marBottom w:val="0"/>
      <w:divBdr>
        <w:top w:val="none" w:sz="0" w:space="0" w:color="auto"/>
        <w:left w:val="none" w:sz="0" w:space="0" w:color="auto"/>
        <w:bottom w:val="none" w:sz="0" w:space="0" w:color="auto"/>
        <w:right w:val="none" w:sz="0" w:space="0" w:color="auto"/>
      </w:divBdr>
    </w:div>
    <w:div w:id="1253858626">
      <w:bodyDiv w:val="1"/>
      <w:marLeft w:val="0"/>
      <w:marRight w:val="0"/>
      <w:marTop w:val="0"/>
      <w:marBottom w:val="0"/>
      <w:divBdr>
        <w:top w:val="none" w:sz="0" w:space="0" w:color="auto"/>
        <w:left w:val="none" w:sz="0" w:space="0" w:color="auto"/>
        <w:bottom w:val="none" w:sz="0" w:space="0" w:color="auto"/>
        <w:right w:val="none" w:sz="0" w:space="0" w:color="auto"/>
      </w:divBdr>
    </w:div>
    <w:div w:id="1382635146">
      <w:bodyDiv w:val="1"/>
      <w:marLeft w:val="0"/>
      <w:marRight w:val="0"/>
      <w:marTop w:val="0"/>
      <w:marBottom w:val="0"/>
      <w:divBdr>
        <w:top w:val="none" w:sz="0" w:space="0" w:color="auto"/>
        <w:left w:val="none" w:sz="0" w:space="0" w:color="auto"/>
        <w:bottom w:val="none" w:sz="0" w:space="0" w:color="auto"/>
        <w:right w:val="none" w:sz="0" w:space="0" w:color="auto"/>
      </w:divBdr>
    </w:div>
    <w:div w:id="1697121092">
      <w:bodyDiv w:val="1"/>
      <w:marLeft w:val="0"/>
      <w:marRight w:val="0"/>
      <w:marTop w:val="0"/>
      <w:marBottom w:val="0"/>
      <w:divBdr>
        <w:top w:val="none" w:sz="0" w:space="0" w:color="auto"/>
        <w:left w:val="none" w:sz="0" w:space="0" w:color="auto"/>
        <w:bottom w:val="none" w:sz="0" w:space="0" w:color="auto"/>
        <w:right w:val="none" w:sz="0" w:space="0" w:color="auto"/>
      </w:divBdr>
    </w:div>
    <w:div w:id="1707950738">
      <w:bodyDiv w:val="1"/>
      <w:marLeft w:val="0"/>
      <w:marRight w:val="0"/>
      <w:marTop w:val="0"/>
      <w:marBottom w:val="0"/>
      <w:divBdr>
        <w:top w:val="none" w:sz="0" w:space="0" w:color="auto"/>
        <w:left w:val="none" w:sz="0" w:space="0" w:color="auto"/>
        <w:bottom w:val="none" w:sz="0" w:space="0" w:color="auto"/>
        <w:right w:val="none" w:sz="0" w:space="0" w:color="auto"/>
      </w:divBdr>
    </w:div>
    <w:div w:id="1962110275">
      <w:bodyDiv w:val="1"/>
      <w:marLeft w:val="0"/>
      <w:marRight w:val="0"/>
      <w:marTop w:val="0"/>
      <w:marBottom w:val="0"/>
      <w:divBdr>
        <w:top w:val="none" w:sz="0" w:space="0" w:color="auto"/>
        <w:left w:val="none" w:sz="0" w:space="0" w:color="auto"/>
        <w:bottom w:val="none" w:sz="0" w:space="0" w:color="auto"/>
        <w:right w:val="none" w:sz="0" w:space="0" w:color="auto"/>
      </w:divBdr>
    </w:div>
    <w:div w:id="2008828607">
      <w:bodyDiv w:val="1"/>
      <w:marLeft w:val="0"/>
      <w:marRight w:val="0"/>
      <w:marTop w:val="0"/>
      <w:marBottom w:val="0"/>
      <w:divBdr>
        <w:top w:val="none" w:sz="0" w:space="0" w:color="auto"/>
        <w:left w:val="none" w:sz="0" w:space="0" w:color="auto"/>
        <w:bottom w:val="none" w:sz="0" w:space="0" w:color="auto"/>
        <w:right w:val="none" w:sz="0" w:space="0" w:color="auto"/>
      </w:divBdr>
    </w:div>
    <w:div w:id="21285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t-iso.org/iso-27001-cyber-secu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ndards.iteh.ai/catalog/standards/cen/0818b89d-2de2-4982-8492-6ab9f5908559/en-iso-9241-151-2008" TargetMode="External"/><Relationship Id="rId2" Type="http://schemas.openxmlformats.org/officeDocument/2006/relationships/numbering" Target="numbering.xml"/><Relationship Id="rId16" Type="http://schemas.openxmlformats.org/officeDocument/2006/relationships/hyperlink" Target="https://www.isaca.org/resources/reports/state-of-cybersecurity-2023" TargetMode="External"/><Relationship Id="rId20" Type="http://schemas.openxmlformats.org/officeDocument/2006/relationships/hyperlink" Target="https://www.w3.org/TR/WCAG2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ca.org.uk/publications/consultation-papers/cp24-20-changes-safeguarding-regime-payments-and-e-money-firm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pwc.com/gr/en/publications/specific-to-all-industries-index/global-digital-trust-insight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apgemini.com/insights/expert-perspectives/identity-access-management-iam-the-new-norma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F8A07CFB4464CA94E2E7FF8F7616C"/>
        <w:category>
          <w:name w:val="General"/>
          <w:gallery w:val="placeholder"/>
        </w:category>
        <w:types>
          <w:type w:val="bbPlcHdr"/>
        </w:types>
        <w:behaviors>
          <w:behavior w:val="content"/>
        </w:behaviors>
        <w:guid w:val="{CD0725C0-0CFD-44B9-9BD3-54895EB801BE}"/>
      </w:docPartPr>
      <w:docPartBody>
        <w:p w:rsidR="002E3830" w:rsidRDefault="00C80839" w:rsidP="00C80839">
          <w:pPr>
            <w:pStyle w:val="38FF8A07CFB4464CA94E2E7FF8F7616C"/>
          </w:pPr>
          <w:r>
            <w:rPr>
              <w:rFonts w:asciiTheme="majorHAnsi" w:eastAsiaTheme="majorEastAsia" w:hAnsiTheme="majorHAnsi" w:cstheme="majorBidi"/>
              <w:caps/>
              <w:color w:val="156082" w:themeColor="accent1"/>
              <w:sz w:val="80"/>
              <w:szCs w:val="80"/>
            </w:rPr>
            <w:t>[Document title]</w:t>
          </w:r>
        </w:p>
      </w:docPartBody>
    </w:docPart>
    <w:docPart>
      <w:docPartPr>
        <w:name w:val="87E38C9092AF4620A406F8582547769B"/>
        <w:category>
          <w:name w:val="General"/>
          <w:gallery w:val="placeholder"/>
        </w:category>
        <w:types>
          <w:type w:val="bbPlcHdr"/>
        </w:types>
        <w:behaviors>
          <w:behavior w:val="content"/>
        </w:behaviors>
        <w:guid w:val="{D05446B7-D1B2-4A35-BF64-E18179597CC7}"/>
      </w:docPartPr>
      <w:docPartBody>
        <w:p w:rsidR="002E3830" w:rsidRDefault="00C80839" w:rsidP="00C80839">
          <w:pPr>
            <w:pStyle w:val="87E38C9092AF4620A406F8582547769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839"/>
    <w:rsid w:val="000C51E1"/>
    <w:rsid w:val="002E3830"/>
    <w:rsid w:val="005D5FA2"/>
    <w:rsid w:val="009D7D1A"/>
    <w:rsid w:val="009F07A6"/>
    <w:rsid w:val="00BB4041"/>
    <w:rsid w:val="00C808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F8A07CFB4464CA94E2E7FF8F7616C">
    <w:name w:val="38FF8A07CFB4464CA94E2E7FF8F7616C"/>
    <w:rsid w:val="00C80839"/>
  </w:style>
  <w:style w:type="paragraph" w:customStyle="1" w:styleId="87E38C9092AF4620A406F8582547769B">
    <w:name w:val="87E38C9092AF4620A406F8582547769B"/>
    <w:rsid w:val="00C80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2025-07-15T00:00:00</PublishDate>
  <Abstract/>
  <CompanyAddress>Abdulrahman Alazmi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2232</Words>
  <Characters>12729</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Task 1 – Website Inspection Using 3 Heuristic Principles</vt:lpstr>
      <vt:lpstr>    Help Users Recognize, Diagnose, and Recover from Errors (Principle 9)</vt:lpstr>
      <vt:lpstr>Task 3 – Security Measures </vt:lpstr>
      <vt:lpstr>    Identification of Two Cyber Security Insider Threats and Their Potential Consequ</vt:lpstr>
      <vt:lpstr>        Insider Threat 1: Malicious Insider Data Theft</vt:lpstr>
      <vt:lpstr>        Insider Threat 2: Negligent Insider Error</vt:lpstr>
      <vt:lpstr>    Identification of Two Relevant Cybersecurity Measures and Rationale for Choice</vt:lpstr>
      <vt:lpstr>        Security Measure 1: Role-Based Access Control (RBAC) with Multi-Factor Authentic</vt:lpstr>
      <vt:lpstr>        Security Measure 2: Employee Security Awareness Training with Simulated Phishing</vt:lpstr>
      <vt:lpstr>        References</vt:lpstr>
    </vt:vector>
  </TitlesOfParts>
  <Company>W24059727</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Website’s analysis based on Heuristic Principles</dc:title>
  <dc:subject>Word count 1630</dc:subject>
  <cp:keywords/>
  <dc:description/>
  <cp:lastModifiedBy>abdulmajeed.saad.s.almutairi</cp:lastModifiedBy>
  <cp:revision>3</cp:revision>
  <dcterms:created xsi:type="dcterms:W3CDTF">2025-09-09T11:25:00Z</dcterms:created>
  <dcterms:modified xsi:type="dcterms:W3CDTF">2025-09-09T11:26:00Z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83b8cc25-e1cf-4826-ab7e-15b0cc83070d</vt:lpwstr>
  </property>
</Properties>
</file>