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/>
        <w:jc w:val="center"/>
      </w:pPr>
      <w:r>
        <w:rPr>
          <w:rFonts w:ascii="Arial" w:cs="Arial" w:eastAsia="Arial" w:hAnsi="Arial"/>
          <w:b/>
          <w:bCs/>
          <w:color w:val="0D2E5C"/>
          <w:sz w:val="52"/>
          <w:szCs w:val="52"/>
        </w:rPr>
        <w:t xml:space="preserve">VulneraX Travlo AI</w:t>
      </w:r>
    </w:p>
    <w:p>
      <w:pPr>
        <w:bidi/>
        <w:spacing w:after="60"/>
        <w:jc w:val="center"/>
      </w:pPr>
      <w:r>
        <w:rPr>
          <w:rFonts w:ascii="Arial" w:cs="Arial" w:eastAsia="Arial" w:hAnsi="Arial"/>
          <w:b/>
          <w:bCs/>
          <w:color w:val="1E5C9B"/>
          <w:sz w:val="36"/>
          <w:szCs w:val="36"/>
        </w:rPr>
        <w:t xml:space="preserve">نموذج العمل التجاري — السوق العُماني</w:t>
      </w: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Business Model Canvas | المساعد الذكي للسياحة العُمانية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2"/>
        <w:gridCol w:w="2618"/>
        <w:gridCol w:w="3388"/>
        <w:gridCol w:w="2618"/>
        <w:gridCol w:w="4003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5C9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الشراكات الرئيسية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color w:val="E8E8E8"/>
                <w:sz w:val="16"/>
                <w:szCs w:val="16"/>
              </w:rPr>
              <w:t xml:space="preserve">Key Partnerships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D5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الأنشطة الرئيسية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color w:val="E8E8E8"/>
                <w:sz w:val="16"/>
                <w:szCs w:val="16"/>
              </w:rPr>
              <w:t xml:space="preserve">Key Activities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1A1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عروض القيمة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color w:val="E8E8E8"/>
                <w:sz w:val="16"/>
                <w:szCs w:val="16"/>
              </w:rPr>
              <w:t xml:space="preserve">Value Propositions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B4C9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علاقات العملاء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color w:val="E8E8E8"/>
                <w:sz w:val="16"/>
                <w:szCs w:val="16"/>
              </w:rPr>
              <w:t xml:space="preserve">Customer Relationships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45A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شرائح العملاء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color w:val="E8E8E8"/>
                <w:sz w:val="16"/>
                <w:szCs w:val="16"/>
              </w:rPr>
              <w:t xml:space="preserve">Customer Segments</w:t>
            </w:r>
          </w:p>
        </w:tc>
      </w:tr>
    </w:tbl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2"/>
        <w:gridCol w:w="2618"/>
        <w:gridCol w:w="3388"/>
        <w:gridCol w:w="2618"/>
        <w:gridCol w:w="4003"/>
      </w:tblGrid>
      <w:tr>
        <w:trPr>
          <w:trHeight w:val="3200" w:hRule="atLeast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C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الشراكات الرئيسية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Key Partnerships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1E5C9B"/>
                <w:sz w:val="17"/>
                <w:szCs w:val="17"/>
              </w:rPr>
              <w:t xml:space="preserve">شراكات تقنية: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Google Cloud — STT/TTS + $200K Credits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ElevenLabs — أصوات خليجية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Anthropic / DeepSeek — نماذج اللغة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هيئة تقنية المعلومات (ITA)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1E5C9B"/>
                <w:sz w:val="17"/>
                <w:szCs w:val="17"/>
              </w:rPr>
              <w:t xml:space="preserve">شراكات السياحة: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وزارة التراث والسياحة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أومران (OMRAN)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عُمان للطيران — Oman Air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فنادق: IHG، ماريوت، Rotana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1E5C9B"/>
                <w:sz w:val="17"/>
                <w:szCs w:val="17"/>
              </w:rPr>
              <w:t xml:space="preserve">بنية تحتية مستقبلية: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OmanCloud — السحابة الحكومية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Omantel / Ooredoo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OPAZ — المناطق الاقتصادية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1E5C9B"/>
                <w:sz w:val="17"/>
                <w:szCs w:val="17"/>
              </w:rPr>
              <w:t xml:space="preserve">تمويل: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Google for Startups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صندوق الاستثمار العُماني (OIF)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برامج إثراء ومنح التقنية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الأنشطة الرئيسية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Key Activities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1E5C9B"/>
                <w:sz w:val="17"/>
                <w:szCs w:val="17"/>
              </w:rPr>
              <w:t xml:space="preserve">التطوير التقني: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تحسين STT/TTS للهجة الخليجية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WebSocket Streaming الفوري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تحديث قاعدة المعرفة السياحية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أمن البيانات والخصوصية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1E5C9B"/>
                <w:sz w:val="17"/>
                <w:szCs w:val="17"/>
              </w:rPr>
              <w:t xml:space="preserve">الأعمال التجارية: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شراكات الفنادق ووكالات السفر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التفاوض مع الجهات الحكومية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التسويق الرقمي وبناء العلامة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1E5C9B"/>
                <w:sz w:val="17"/>
                <w:szCs w:val="17"/>
              </w:rPr>
              <w:t xml:space="preserve">الامتثال: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الامتثال لـ PDPL العُماني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التحضير للاستضافة السيادية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التقارير للجهات التنظيمية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EAEA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عروض القيمة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Value Propositions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1E5C9B"/>
                <w:sz w:val="17"/>
                <w:szCs w:val="17"/>
              </w:rPr>
              <w:t xml:space="preserve">للسياح: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محادثة صوتية خليجية طبيعية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عربي + إنجليزي بدون كتابة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توصيات فورية مخصصة 24/7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خصوصية تامة — بيانات محلية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يعمل على الإنترنت الضعيف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معرفة عميقة بالتراث العُماني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1E5C9B"/>
                <w:sz w:val="17"/>
                <w:szCs w:val="17"/>
              </w:rPr>
              <w:t xml:space="preserve">للشركات: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خفض تكاليف خدمة العملاء 60%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رفع تجربة الضيف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تحليلات وبيانات السياح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تكامل API سهل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1E5C9B"/>
                <w:sz w:val="17"/>
                <w:szCs w:val="17"/>
              </w:rPr>
              <w:t xml:space="preserve">للحكومة: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دعم رؤية عُمان 2040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السيادة الرقمية للبيانات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إحصاءات للتخطيط الاستراتيجي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EF9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علاقات العملاء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Customer Relationships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خدمة ذاتية بالذكاء الاصطناعي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تخصيص وتذكر التفضيلات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نظام تقييم المواقع السياحية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دعم بشري احتياطي (B2B)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نشرة الفعاليات والمواسم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برنامج نقاط الولاء (Premium)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E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شرائح العملاء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Customer Segments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1E5C9B"/>
                <w:sz w:val="17"/>
                <w:szCs w:val="17"/>
              </w:rPr>
              <w:t xml:space="preserve">B2C — المستهلك: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سياح دوليون (أوروبا، آسيا، عرب)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سياح خليجيون (السعودية، UAE، KW)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العُمانيون — السياحة الداخلية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شباب عُماني 18-35 سنة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العائلات العُمانية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1E5C9B"/>
                <w:sz w:val="17"/>
                <w:szCs w:val="17"/>
              </w:rPr>
              <w:t xml:space="preserve">B2B — الشركات: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فنادق ومنتجعات سياحية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وكالات السفر والسياحة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شركات تأجير السيارات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مطاعم ومنشآت ترفيهية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عُمان للطيران + المطارات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1E5C9B"/>
                <w:sz w:val="17"/>
                <w:szCs w:val="17"/>
              </w:rPr>
              <w:t xml:space="preserve">B2G — الحكومة: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وزارة التراث والسياحة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أومران — OMRAN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بلدية مسقط + OPAZ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المواقع التراثية والمتاحف</w:t>
            </w:r>
          </w:p>
        </w:tc>
      </w:tr>
    </w:tbl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2"/>
        <w:gridCol w:w="2618"/>
        <w:gridCol w:w="3388"/>
        <w:gridCol w:w="2618"/>
        <w:gridCol w:w="4003"/>
      </w:tblGrid>
      <w:tr>
        <w:trPr>
          <w:trHeight w:val="2800" w:hRule="atLeast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5F2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E5C9B"/>
                <w:sz w:val="20"/>
                <w:szCs w:val="20"/>
              </w:rPr>
              <w:t xml:space="preserve">الموارد الرئيسية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Key Resources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1E5C9B"/>
                <w:sz w:val="17"/>
                <w:szCs w:val="17"/>
              </w:rPr>
              <w:t xml:space="preserve">الموارد التقنية: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Whisper محلي — STT خليجي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Ollama / Qwen — LLM محلي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RAG — قاعدة 500+ موقع سياحي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Google Cloud STT/TTS (fallback)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ElevenLabs — أصوات خليجية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GPU Server محلي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1E5C9B"/>
                <w:sz w:val="17"/>
                <w:szCs w:val="17"/>
              </w:rPr>
              <w:t xml:space="preserve">الموارد البشرية: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فريق AI/ML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مختصو اللهجة العُمانية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فريق المبيعات المحلية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1E5C9B"/>
                <w:sz w:val="17"/>
                <w:szCs w:val="17"/>
              </w:rPr>
              <w:t xml:space="preserve">قانونية وتنظيمية: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الامتثال لـ PDPL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ترخيص ITA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↑ تكملة عروض القيمة ↑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E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5A6B00"/>
                <w:sz w:val="20"/>
                <w:szCs w:val="20"/>
              </w:rPr>
              <w:t xml:space="preserve">القنوات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Channels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5A6B00"/>
                <w:sz w:val="17"/>
                <w:szCs w:val="17"/>
              </w:rPr>
              <w:t xml:space="preserve">القنوات الرقمية: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Web App — المرحلة الحالية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تطبيق موبايل iOS/Android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WhatsApp Business API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API للشركاء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5A6B00"/>
                <w:sz w:val="17"/>
                <w:szCs w:val="17"/>
              </w:rPr>
              <w:t xml:space="preserve">القنوات التجارية: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شراكة مع الفنادق (كشك رقمي)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مطارات مسقط وصلالة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معارض Arabian Travel Market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Instagram / TikTok / Google Ads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5A6B00"/>
                <w:sz w:val="17"/>
                <w:szCs w:val="17"/>
              </w:rPr>
              <w:t xml:space="preserve">الدعم الحكومي: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بوابة Visit Oman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7"/>
                <w:szCs w:val="17"/>
              </w:rPr>
              <w:t xml:space="preserve">• منصة تراخيص السياحة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↑ تكملة شرائح العملاء ↑</w:t>
            </w:r>
          </w:p>
        </w:tc>
      </w:tr>
    </w:tbl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1"/>
        <w:gridCol w:w="8777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4A372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هيكل التكاليف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color w:val="E8E8E8"/>
                <w:sz w:val="16"/>
                <w:szCs w:val="16"/>
              </w:rPr>
              <w:t xml:space="preserve">Cost Structure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C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مصادر الإيرادات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i/>
                <w:iCs/>
                <w:color w:val="E8E8E8"/>
                <w:sz w:val="16"/>
                <w:szCs w:val="16"/>
              </w:rPr>
              <w:t xml:space="preserve">Revenue Streams</w:t>
            </w:r>
          </w:p>
        </w:tc>
      </w:tr>
    </w:tbl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1"/>
        <w:gridCol w:w="8777"/>
      </w:tblGrid>
      <w:tr>
        <w:trPr>
          <w:trHeight w:val="3000" w:hRule="atLeast"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EDE8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المرحلة 1 — MVP (0-50 مستخدم/يوم):</w:t>
            </w:r>
          </w:p>
          <w:p>
            <w:pPr>
              <w:bidi/>
              <w:spacing w:after="50"/>
              <w:jc w:val="right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• Google Cloud STT (20% fallback): ~$13/شهر</w:t>
            </w:r>
          </w:p>
          <w:p>
            <w:pPr>
              <w:bidi/>
              <w:spacing w:after="50"/>
              <w:jc w:val="right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• Google Cloud TTS Journey: ~$19/شهر</w:t>
            </w:r>
          </w:p>
          <w:p>
            <w:pPr>
              <w:bidi/>
              <w:spacing w:after="50"/>
              <w:jc w:val="right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• Vercel Hosting: $0-20/شهر</w:t>
            </w:r>
          </w:p>
          <w:p>
            <w:pPr>
              <w:bidi/>
              <w:spacing w:after="50"/>
              <w:jc w:val="right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• كهرباء الخادم المحلي: ~$25/شهر</w:t>
            </w:r>
          </w:p>
          <w:p>
            <w:pPr>
              <w:bidi/>
              <w:spacing w:after="50"/>
              <w:jc w:val="right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• الإجمالي: $57-77/شهر (~22-30 OMR)</w:t>
            </w:r>
          </w:p>
          <w:p>
            <w:pPr>
              <w:bidi/>
              <w:spacing w:after="80" w:before="120"/>
              <w:jc w:val="righ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المرحلة 2 — Growth (200 مستخدم/يوم):</w:t>
            </w:r>
          </w:p>
          <w:p>
            <w:pPr>
              <w:bidi/>
              <w:spacing w:after="50"/>
              <w:jc w:val="right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• Google Cloud STT: ~$213/شهر</w:t>
            </w:r>
          </w:p>
          <w:p>
            <w:pPr>
              <w:bidi/>
              <w:spacing w:after="50"/>
              <w:jc w:val="right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• ElevenLabs Scale (خليجي): $330/شهر</w:t>
            </w:r>
          </w:p>
          <w:p>
            <w:pPr>
              <w:bidi/>
              <w:spacing w:after="50"/>
              <w:jc w:val="right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• Vercel Pro + Infrastructure: $120/شهر</w:t>
            </w:r>
          </w:p>
          <w:p>
            <w:pPr>
              <w:bidi/>
              <w:spacing w:after="50"/>
              <w:jc w:val="right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• الإجمالي: ~$663/شهر (~255 OMR)</w:t>
            </w:r>
          </w:p>
          <w:p>
            <w:pPr>
              <w:bidi/>
              <w:spacing w:after="80" w:before="120"/>
              <w:jc w:val="right"/>
            </w:pPr>
            <w:r>
              <w:rPr>
                <w:rFonts w:ascii="Arial" w:cs="Arial" w:eastAsia="Arial" w:hAnsi="Arial"/>
                <w:b/>
                <w:bCs/>
                <w:color w:val="4A3728"/>
                <w:sz w:val="18"/>
                <w:szCs w:val="18"/>
              </w:rPr>
              <w:t xml:space="preserve">التكاليف الثابتة:</w:t>
            </w:r>
          </w:p>
          <w:p>
            <w:pPr>
              <w:bidi/>
              <w:spacing w:after="50"/>
              <w:jc w:val="right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• رواتب فريق التطوير (2-3): 2,000-4,000 OMR/شهر</w:t>
            </w:r>
          </w:p>
          <w:p>
            <w:pPr>
              <w:bidi/>
              <w:spacing w:after="50"/>
              <w:jc w:val="right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• التسويق والمبيعات: 500-1,000 OMR/شهر</w:t>
            </w:r>
          </w:p>
          <w:p>
            <w:pPr>
              <w:bidi/>
              <w:spacing w:after="50"/>
              <w:jc w:val="right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• التراخيص والامتثال: 200-300 OMR/شهر</w:t>
            </w:r>
          </w:p>
          <w:p>
            <w:pPr>
              <w:bidi/>
              <w:spacing w:after="50"/>
              <w:jc w:val="right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• الإجمالي الثابت: 3,000-5,500 OMR/شهر</w:t>
            </w:r>
          </w:p>
          <w:p>
            <w:pPr>
              <w:bidi/>
              <w:spacing w:after="50"/>
              <w:jc w:val="right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• استراتيجية: Google for Startups $200K Credits مجاناً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E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1A5C2E"/>
                <w:sz w:val="18"/>
                <w:szCs w:val="18"/>
              </w:rPr>
              <w:t xml:space="preserve">B2C — المستهلك المباشر:</w:t>
            </w:r>
          </w:p>
          <w:p>
            <w:pPr>
              <w:bidi/>
              <w:spacing w:after="50"/>
              <w:jc w:val="right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• خطة مجانية: استفسارات محدودة/شهر</w:t>
            </w:r>
          </w:p>
          <w:p>
            <w:pPr>
              <w:bidi/>
              <w:spacing w:after="50"/>
              <w:jc w:val="right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• Premium: 2-5 OMR/شهر — محادثات غير محدودة</w:t>
            </w:r>
          </w:p>
          <w:p>
            <w:pPr>
              <w:bidi/>
              <w:spacing w:after="80" w:before="120"/>
              <w:jc w:val="right"/>
            </w:pPr>
            <w:r>
              <w:rPr>
                <w:rFonts w:ascii="Arial" w:cs="Arial" w:eastAsia="Arial" w:hAnsi="Arial"/>
                <w:b/>
                <w:bCs/>
                <w:color w:val="1A5C2E"/>
                <w:sz w:val="18"/>
                <w:szCs w:val="18"/>
              </w:rPr>
              <w:t xml:space="preserve">B2B — SaaS للمؤسسات:</w:t>
            </w:r>
          </w:p>
          <w:p>
            <w:pPr>
              <w:bidi/>
              <w:spacing w:after="50"/>
              <w:jc w:val="right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• فنادق صغيرة: 50-100 OMR/شهر</w:t>
            </w:r>
          </w:p>
          <w:p>
            <w:pPr>
              <w:bidi/>
              <w:spacing w:after="50"/>
              <w:jc w:val="right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• فنادق كبيرة/منتجعات: 200-500 OMR/شهر</w:t>
            </w:r>
          </w:p>
          <w:p>
            <w:pPr>
              <w:bidi/>
              <w:spacing w:after="50"/>
              <w:jc w:val="right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• وكالات السفر: 80-150 OMR/شهر</w:t>
            </w:r>
          </w:p>
          <w:p>
            <w:pPr>
              <w:bidi/>
              <w:spacing w:after="50"/>
              <w:jc w:val="right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• عمولة على الحجوزات: 3-8%</w:t>
            </w:r>
          </w:p>
          <w:p>
            <w:pPr>
              <w:bidi/>
              <w:spacing w:after="80" w:before="120"/>
              <w:jc w:val="right"/>
            </w:pPr>
            <w:r>
              <w:rPr>
                <w:rFonts w:ascii="Arial" w:cs="Arial" w:eastAsia="Arial" w:hAnsi="Arial"/>
                <w:b/>
                <w:bCs/>
                <w:color w:val="1A5C2E"/>
                <w:sz w:val="18"/>
                <w:szCs w:val="18"/>
              </w:rPr>
              <w:t xml:space="preserve">B2G — الترخيص الحكومي:</w:t>
            </w:r>
          </w:p>
          <w:p>
            <w:pPr>
              <w:bidi/>
              <w:spacing w:after="50"/>
              <w:jc w:val="right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• عقد ترخيص سنوي — وزارة السياحة</w:t>
            </w:r>
          </w:p>
          <w:p>
            <w:pPr>
              <w:bidi/>
              <w:spacing w:after="50"/>
              <w:jc w:val="right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• مشاريع Custom للجهات الحكومية</w:t>
            </w:r>
          </w:p>
          <w:p>
            <w:pPr>
              <w:bidi/>
              <w:spacing w:after="80" w:before="120"/>
              <w:jc w:val="right"/>
            </w:pPr>
            <w:r>
              <w:rPr>
                <w:rFonts w:ascii="Arial" w:cs="Arial" w:eastAsia="Arial" w:hAnsi="Arial"/>
                <w:b/>
                <w:bCs/>
                <w:color w:val="1A5C2E"/>
                <w:sz w:val="18"/>
                <w:szCs w:val="18"/>
              </w:rPr>
              <w:t xml:space="preserve">إيرادات مستقبلية:</w:t>
            </w:r>
          </w:p>
          <w:p>
            <w:pPr>
              <w:bidi/>
              <w:spacing w:after="50"/>
              <w:jc w:val="right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• تحليلات سياحية مُجمَّعة (Data Insights)</w:t>
            </w:r>
          </w:p>
          <w:p>
            <w:pPr>
              <w:bidi/>
              <w:spacing w:after="50"/>
              <w:jc w:val="right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• White-Label لدول خليجية أخرى</w:t>
            </w:r>
          </w:p>
          <w:p>
            <w:pPr>
              <w:bidi/>
              <w:spacing w:after="50"/>
              <w:jc w:val="right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• إعلانات موجَّهة من شركاء السياحة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sz w:val="12"/>
          <w:szCs w:val="12"/>
        </w:rP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98"/>
      </w:tblGrid>
      <w:tr>
        <w:tc>
          <w:tcPr>
            <w:tcBorders>
              <w:top w:val="single" w:color="1E5C9B" w:sz="4"/>
              <w:left w:val="single" w:color="1E5C9B" w:sz="4"/>
              <w:bottom w:val="single" w:color="1E5C9B" w:sz="4"/>
              <w:right w:val="single" w:color="1E5C9B" w:sz="4"/>
            </w:tcBorders>
            <w:shd w:fill="E8EF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0D2E5C"/>
                <w:sz w:val="20"/>
                <w:szCs w:val="20"/>
              </w:rPr>
              <w:t xml:space="preserve">مسار الاستضافة السيادية — رؤية عُمان 2040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2025-2026: بنية هجينة — Whisper+Ollama محلي + Google Cloud me-central1 (قطر) + امتثال PDPL</w:t>
            </w:r>
          </w:p>
          <w:p>
            <w:pPr>
              <w:bidi/>
              <w:spacing w:after="60"/>
              <w:jc w:val="righ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2026-2027: انتقال تدريجي إلى OmanCloud/Omantel — Google فقط لخدمات الصوت — توفير 30-40% من التكاليف السحابية</w:t>
            </w:r>
          </w:p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2027+: استضافة كاملة داخل البنية التحتية العُمانية — نماذج STT/TTS عربية محلية — الامتثال الكامل لـ ITA — أهلية عقود B2G الكبرى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2026-05-09T06:18:30.914Z</dcterms:created>
  <dcterms:modified xsi:type="dcterms:W3CDTF">2026-05-09T06:18:30.915Z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